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41" w:rsidRDefault="00287441" w:rsidP="00287441">
      <w:pPr>
        <w:spacing w:after="14" w:line="249" w:lineRule="auto"/>
        <w:ind w:left="-5" w:right="1008" w:hanging="10"/>
        <w:rPr>
          <w:rFonts w:ascii="Arial" w:eastAsia="Arial" w:hAnsi="Arial" w:cs="Arial"/>
          <w:b/>
          <w:sz w:val="28"/>
        </w:rPr>
      </w:pPr>
      <w:r w:rsidRPr="00676E0F">
        <w:rPr>
          <w:rFonts w:ascii="Arial" w:eastAsia="Arial" w:hAnsi="Arial" w:cs="Arial"/>
          <w:b/>
          <w:color w:val="2E74B5" w:themeColor="accent1" w:themeShade="BF"/>
          <w:sz w:val="28"/>
        </w:rPr>
        <w:t>_________________________________________________</w:t>
      </w:r>
    </w:p>
    <w:p w:rsidR="00287441" w:rsidRDefault="00287441" w:rsidP="00287441">
      <w:pPr>
        <w:spacing w:after="14" w:line="249" w:lineRule="auto"/>
        <w:ind w:left="-5" w:right="1008" w:hanging="10"/>
        <w:jc w:val="center"/>
        <w:rPr>
          <w:rFonts w:ascii="Arial" w:eastAsia="Arial" w:hAnsi="Arial" w:cs="Arial"/>
          <w:b/>
          <w:sz w:val="28"/>
        </w:rPr>
      </w:pPr>
    </w:p>
    <w:p w:rsidR="00287441" w:rsidRDefault="00287441" w:rsidP="00287441">
      <w:pPr>
        <w:spacing w:after="14" w:line="249" w:lineRule="auto"/>
        <w:ind w:left="-5" w:right="1008" w:hanging="1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Bilan des activités de la Commission d’évaluation</w:t>
      </w:r>
    </w:p>
    <w:p w:rsidR="00287441" w:rsidRPr="00C6654A" w:rsidRDefault="00287441" w:rsidP="00C6654A">
      <w:pPr>
        <w:spacing w:after="14" w:line="249" w:lineRule="auto"/>
        <w:ind w:left="-5" w:right="1008" w:hanging="10"/>
        <w:jc w:val="center"/>
        <w:rPr>
          <w:rFonts w:ascii="Arial" w:eastAsia="Arial" w:hAnsi="Arial" w:cs="Arial"/>
          <w:sz w:val="24"/>
        </w:rPr>
      </w:pPr>
      <w:r w:rsidRPr="0082367D">
        <w:rPr>
          <w:rFonts w:ascii="Arial" w:eastAsia="Arial" w:hAnsi="Arial" w:cs="Arial"/>
          <w:sz w:val="24"/>
        </w:rPr>
        <w:t xml:space="preserve"> (</w:t>
      </w:r>
      <w:r>
        <w:rPr>
          <w:rFonts w:ascii="Arial" w:eastAsia="Arial" w:hAnsi="Arial" w:cs="Arial"/>
          <w:sz w:val="24"/>
        </w:rPr>
        <w:t>Février 2010 à M</w:t>
      </w:r>
      <w:r w:rsidR="00C6654A">
        <w:rPr>
          <w:rFonts w:ascii="Arial" w:eastAsia="Arial" w:hAnsi="Arial" w:cs="Arial"/>
          <w:sz w:val="24"/>
        </w:rPr>
        <w:t>ai</w:t>
      </w:r>
      <w:r>
        <w:rPr>
          <w:rFonts w:ascii="Arial" w:eastAsia="Arial" w:hAnsi="Arial" w:cs="Arial"/>
          <w:sz w:val="24"/>
        </w:rPr>
        <w:t xml:space="preserve"> 2011</w:t>
      </w:r>
      <w:r w:rsidRPr="0082367D">
        <w:rPr>
          <w:rFonts w:ascii="Arial" w:eastAsia="Comic Sans MS" w:hAnsi="Arial" w:cs="Arial"/>
          <w:sz w:val="24"/>
        </w:rPr>
        <w:t>)</w:t>
      </w:r>
    </w:p>
    <w:p w:rsidR="00287441" w:rsidRDefault="00287441"/>
    <w:p w:rsidR="00287441" w:rsidRPr="00287441" w:rsidRDefault="00287441" w:rsidP="00287441">
      <w:pPr>
        <w:spacing w:after="14" w:line="249" w:lineRule="auto"/>
        <w:ind w:left="37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Les membres: </w:t>
      </w:r>
    </w:p>
    <w:p w:rsidR="00287441" w:rsidRPr="00287441" w:rsidRDefault="00287441" w:rsidP="00287441">
      <w:pPr>
        <w:spacing w:after="14" w:line="249" w:lineRule="auto"/>
        <w:ind w:left="145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Martine Aiach (Paris) </w:t>
      </w:r>
    </w:p>
    <w:p w:rsidR="00287441" w:rsidRPr="00287441" w:rsidRDefault="00287441" w:rsidP="00287441">
      <w:pPr>
        <w:spacing w:after="14" w:line="249" w:lineRule="auto"/>
        <w:ind w:left="145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Rached Azaiez (Monastir)  </w:t>
      </w:r>
    </w:p>
    <w:p w:rsidR="00287441" w:rsidRPr="00287441" w:rsidRDefault="00287441" w:rsidP="00287441">
      <w:pPr>
        <w:spacing w:after="14" w:line="249" w:lineRule="auto"/>
        <w:ind w:left="145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André Bigot (Cotonou) </w:t>
      </w:r>
    </w:p>
    <w:p w:rsidR="00287441" w:rsidRPr="00287441" w:rsidRDefault="00287441" w:rsidP="00287441">
      <w:pPr>
        <w:spacing w:after="14" w:line="249" w:lineRule="auto"/>
        <w:ind w:left="145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Chantal Finance (Nancy) </w:t>
      </w:r>
    </w:p>
    <w:p w:rsidR="00287441" w:rsidRPr="00287441" w:rsidRDefault="00287441" w:rsidP="00287441">
      <w:pPr>
        <w:spacing w:after="14" w:line="249" w:lineRule="auto"/>
        <w:ind w:left="145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Jean-Marie Gazengel (Caen) </w:t>
      </w:r>
    </w:p>
    <w:p w:rsidR="00287441" w:rsidRPr="00287441" w:rsidRDefault="00287441" w:rsidP="00287441">
      <w:pPr>
        <w:spacing w:after="14" w:line="249" w:lineRule="auto"/>
        <w:ind w:left="145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Jean-Pierre Grégoire (Québec) </w:t>
      </w:r>
    </w:p>
    <w:p w:rsidR="00287441" w:rsidRPr="00287441" w:rsidRDefault="00287441" w:rsidP="00287441">
      <w:pPr>
        <w:spacing w:after="14" w:line="249" w:lineRule="auto"/>
        <w:ind w:left="1450" w:right="3189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Matthieu Kaltenbach (Reims) Moussa Koné (Abidjan) </w:t>
      </w:r>
    </w:p>
    <w:p w:rsidR="00287441" w:rsidRPr="00287441" w:rsidRDefault="00287441" w:rsidP="00287441">
      <w:pPr>
        <w:spacing w:after="14" w:line="249" w:lineRule="auto"/>
        <w:ind w:left="1450" w:right="3817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Gado Napo-Koura (Lomé) Alain Pineau (Nantes) </w:t>
      </w:r>
    </w:p>
    <w:p w:rsidR="00287441" w:rsidRPr="00287441" w:rsidRDefault="00287441" w:rsidP="00287441">
      <w:pPr>
        <w:spacing w:after="14" w:line="249" w:lineRule="auto"/>
        <w:ind w:left="145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Mamadou Sawadogo (Ouagadougou) </w:t>
      </w:r>
    </w:p>
    <w:p w:rsidR="00287441" w:rsidRPr="00287441" w:rsidRDefault="00287441" w:rsidP="00287441">
      <w:pPr>
        <w:spacing w:after="14" w:line="249" w:lineRule="auto"/>
        <w:ind w:left="145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Claude Mailhot (Montréal), présidente </w:t>
      </w:r>
    </w:p>
    <w:p w:rsidR="00287441" w:rsidRPr="00287441" w:rsidRDefault="00287441" w:rsidP="00287441">
      <w:pPr>
        <w:spacing w:after="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16"/>
        <w:ind w:left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14" w:line="249" w:lineRule="auto"/>
        <w:ind w:left="370" w:right="1008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Développement et mise à jour d’outils d’évaluation </w:t>
      </w:r>
    </w:p>
    <w:p w:rsidR="00287441" w:rsidRPr="00287441" w:rsidRDefault="00287441" w:rsidP="00287441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1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>Révision de la politique et méthodologie d’évaluation des programmes d’études pharmaceutiques et des facultés de pharmacie (</w:t>
      </w:r>
      <w:r w:rsidRPr="00287441">
        <w:rPr>
          <w:rFonts w:asciiTheme="majorHAnsi" w:eastAsia="Arial" w:hAnsiTheme="majorHAnsi" w:cs="Arial"/>
          <w:i/>
          <w:sz w:val="28"/>
          <w:szCs w:val="28"/>
        </w:rPr>
        <w:t>voir document joint-Document 3</w:t>
      </w:r>
      <w:r w:rsidRPr="00287441">
        <w:rPr>
          <w:rFonts w:asciiTheme="majorHAnsi" w:eastAsia="Arial" w:hAnsiTheme="majorHAnsi" w:cs="Arial"/>
          <w:sz w:val="28"/>
          <w:szCs w:val="28"/>
        </w:rPr>
        <w:t xml:space="preserve">). </w:t>
      </w:r>
    </w:p>
    <w:p w:rsidR="00287441" w:rsidRPr="00287441" w:rsidRDefault="00287441" w:rsidP="00287441">
      <w:pPr>
        <w:numPr>
          <w:ilvl w:val="0"/>
          <w:numId w:val="1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>Développement d’un canevas de plan d’action suite à une évaluation (</w:t>
      </w:r>
      <w:r w:rsidRPr="00287441">
        <w:rPr>
          <w:rFonts w:asciiTheme="majorHAnsi" w:eastAsia="Arial" w:hAnsiTheme="majorHAnsi" w:cs="Arial"/>
          <w:i/>
          <w:sz w:val="28"/>
          <w:szCs w:val="28"/>
        </w:rPr>
        <w:t>voir document joint-Document 4</w:t>
      </w:r>
      <w:r w:rsidRPr="00287441">
        <w:rPr>
          <w:rFonts w:asciiTheme="majorHAnsi" w:eastAsia="Arial" w:hAnsiTheme="majorHAnsi" w:cs="Arial"/>
          <w:sz w:val="28"/>
          <w:szCs w:val="28"/>
        </w:rPr>
        <w:t xml:space="preserve">). </w:t>
      </w:r>
    </w:p>
    <w:p w:rsidR="00287441" w:rsidRPr="00287441" w:rsidRDefault="00287441" w:rsidP="00287441">
      <w:pPr>
        <w:spacing w:after="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16"/>
        <w:ind w:left="72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287441" w:rsidRDefault="00287441" w:rsidP="00287441">
      <w:pPr>
        <w:spacing w:after="0"/>
        <w:rPr>
          <w:rFonts w:asciiTheme="majorHAnsi" w:eastAsia="Arial" w:hAnsiTheme="majorHAnsi" w:cs="Arial"/>
          <w:b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567799" w:rsidRDefault="00567799" w:rsidP="00287441">
      <w:pPr>
        <w:spacing w:after="0"/>
        <w:rPr>
          <w:rFonts w:asciiTheme="majorHAnsi" w:eastAsia="Arial" w:hAnsiTheme="majorHAnsi" w:cs="Arial"/>
          <w:b/>
          <w:sz w:val="28"/>
          <w:szCs w:val="28"/>
        </w:rPr>
      </w:pPr>
    </w:p>
    <w:p w:rsidR="00567799" w:rsidRDefault="00567799" w:rsidP="00287441">
      <w:pPr>
        <w:spacing w:after="0"/>
        <w:rPr>
          <w:rFonts w:asciiTheme="majorHAnsi" w:eastAsia="Arial" w:hAnsiTheme="majorHAnsi" w:cs="Arial"/>
          <w:b/>
          <w:sz w:val="28"/>
          <w:szCs w:val="28"/>
        </w:rPr>
      </w:pPr>
    </w:p>
    <w:p w:rsidR="00567799" w:rsidRDefault="00567799" w:rsidP="00287441">
      <w:pPr>
        <w:spacing w:after="0"/>
        <w:rPr>
          <w:rFonts w:asciiTheme="majorHAnsi" w:eastAsia="Arial" w:hAnsiTheme="majorHAnsi" w:cs="Arial"/>
          <w:b/>
          <w:sz w:val="28"/>
          <w:szCs w:val="28"/>
        </w:rPr>
      </w:pPr>
    </w:p>
    <w:p w:rsidR="00567799" w:rsidRPr="00287441" w:rsidRDefault="00567799" w:rsidP="00287441">
      <w:pPr>
        <w:spacing w:after="0"/>
        <w:rPr>
          <w:rFonts w:asciiTheme="majorHAnsi" w:hAnsiTheme="majorHAnsi"/>
          <w:sz w:val="28"/>
          <w:szCs w:val="28"/>
        </w:rPr>
      </w:pPr>
    </w:p>
    <w:p w:rsidR="00567799" w:rsidRDefault="00567799" w:rsidP="00287441">
      <w:pPr>
        <w:spacing w:after="14" w:line="249" w:lineRule="auto"/>
        <w:ind w:left="-5" w:right="1008" w:hanging="10"/>
        <w:rPr>
          <w:rFonts w:asciiTheme="majorHAnsi" w:eastAsia="Arial" w:hAnsiTheme="majorHAnsi" w:cs="Arial"/>
          <w:b/>
          <w:sz w:val="28"/>
          <w:szCs w:val="28"/>
        </w:rPr>
      </w:pPr>
    </w:p>
    <w:p w:rsidR="00287441" w:rsidRPr="00287441" w:rsidRDefault="00287441" w:rsidP="00287441">
      <w:pPr>
        <w:spacing w:after="14" w:line="249" w:lineRule="auto"/>
        <w:ind w:left="-5" w:right="1008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Visites préparatoires : </w:t>
      </w:r>
    </w:p>
    <w:p w:rsidR="00287441" w:rsidRPr="00287441" w:rsidRDefault="00287441" w:rsidP="00287441">
      <w:pPr>
        <w:spacing w:after="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5" w:line="250" w:lineRule="auto"/>
        <w:ind w:left="1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Objectifs: </w:t>
      </w:r>
    </w:p>
    <w:p w:rsidR="00287441" w:rsidRPr="00287441" w:rsidRDefault="00287441" w:rsidP="00287441">
      <w:pPr>
        <w:spacing w:after="14" w:line="249" w:lineRule="auto"/>
        <w:ind w:left="1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Expliquer buts et étapes de la démarche d’évaluation et plus spécifiquement expliquer la démarche d’auto-analyse </w:t>
      </w:r>
    </w:p>
    <w:p w:rsidR="00287441" w:rsidRPr="00287441" w:rsidRDefault="00287441" w:rsidP="00287441">
      <w:pPr>
        <w:numPr>
          <w:ilvl w:val="1"/>
          <w:numId w:val="1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Doyen et collaborateurs </w:t>
      </w:r>
    </w:p>
    <w:p w:rsidR="00287441" w:rsidRPr="00287441" w:rsidRDefault="00287441" w:rsidP="00287441">
      <w:pPr>
        <w:numPr>
          <w:ilvl w:val="1"/>
          <w:numId w:val="1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Enseignants </w:t>
      </w:r>
    </w:p>
    <w:p w:rsidR="00287441" w:rsidRPr="00287441" w:rsidRDefault="00287441" w:rsidP="00287441">
      <w:pPr>
        <w:numPr>
          <w:ilvl w:val="1"/>
          <w:numId w:val="1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Association étudiante </w:t>
      </w:r>
    </w:p>
    <w:p w:rsidR="00287441" w:rsidRPr="00287441" w:rsidRDefault="00287441" w:rsidP="00287441">
      <w:pPr>
        <w:spacing w:after="14" w:line="249" w:lineRule="auto"/>
        <w:ind w:left="1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Rencontrer les représentants de la Direction de l’Université </w:t>
      </w:r>
    </w:p>
    <w:p w:rsidR="00287441" w:rsidRPr="00287441" w:rsidRDefault="00287441" w:rsidP="00287441">
      <w:pPr>
        <w:spacing w:after="16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2"/>
        </w:numPr>
        <w:spacing w:after="14" w:line="249" w:lineRule="auto"/>
        <w:ind w:hanging="348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Faculté de Pharmacie de Tours </w:t>
      </w:r>
    </w:p>
    <w:p w:rsidR="00287441" w:rsidRPr="00287441" w:rsidRDefault="00287441" w:rsidP="00287441">
      <w:pPr>
        <w:spacing w:after="14" w:line="249" w:lineRule="auto"/>
        <w:ind w:left="718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(mai 2010,  C. Mailhot) </w:t>
      </w:r>
    </w:p>
    <w:p w:rsidR="00287441" w:rsidRPr="00287441" w:rsidRDefault="00287441" w:rsidP="00287441">
      <w:pPr>
        <w:spacing w:after="0"/>
        <w:ind w:left="108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2"/>
        </w:numPr>
        <w:spacing w:after="14" w:line="249" w:lineRule="auto"/>
        <w:ind w:hanging="348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Faculté de pharmacie de l’Université Libanaise (Beyrouth) </w:t>
      </w:r>
    </w:p>
    <w:p w:rsidR="00287441" w:rsidRPr="00287441" w:rsidRDefault="00287441" w:rsidP="00287441">
      <w:pPr>
        <w:spacing w:after="14" w:line="249" w:lineRule="auto"/>
        <w:ind w:left="73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(décembre 2010, C. Mailhot) </w:t>
      </w:r>
    </w:p>
    <w:p w:rsidR="00287441" w:rsidRPr="00287441" w:rsidRDefault="00287441" w:rsidP="00287441">
      <w:pPr>
        <w:spacing w:after="0"/>
        <w:ind w:left="72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2"/>
        </w:numPr>
        <w:spacing w:after="14" w:line="249" w:lineRule="auto"/>
        <w:ind w:hanging="348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Faculté des sciences de la Santé de Cotonou </w:t>
      </w:r>
    </w:p>
    <w:p w:rsidR="00287441" w:rsidRPr="00287441" w:rsidRDefault="00287441" w:rsidP="00287441">
      <w:pPr>
        <w:spacing w:after="14" w:line="249" w:lineRule="auto"/>
        <w:ind w:left="73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(janvier 2011, C. Mailhot et F.G. Napo-Koura) </w:t>
      </w:r>
    </w:p>
    <w:p w:rsidR="00287441" w:rsidRPr="00287441" w:rsidRDefault="00287441" w:rsidP="00567799">
      <w:pPr>
        <w:spacing w:after="0"/>
        <w:ind w:left="72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 </w:t>
      </w:r>
    </w:p>
    <w:p w:rsidR="00287441" w:rsidRPr="00287441" w:rsidRDefault="00287441" w:rsidP="00567799">
      <w:pPr>
        <w:spacing w:after="14" w:line="249" w:lineRule="auto"/>
        <w:ind w:left="-5" w:right="1008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Visites d’évaluation : </w:t>
      </w:r>
      <w:bookmarkStart w:id="0" w:name="_GoBack"/>
      <w:bookmarkEnd w:id="0"/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3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Faculté de Pharmacie de l’Université St-Joseph </w:t>
      </w:r>
    </w:p>
    <w:p w:rsidR="00287441" w:rsidRPr="00287441" w:rsidRDefault="00287441" w:rsidP="00287441">
      <w:pPr>
        <w:tabs>
          <w:tab w:val="center" w:pos="1356"/>
        </w:tabs>
        <w:spacing w:after="14" w:line="249" w:lineRule="auto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  <w:r w:rsidRPr="00287441">
        <w:rPr>
          <w:rFonts w:asciiTheme="majorHAnsi" w:eastAsia="Arial" w:hAnsiTheme="majorHAnsi" w:cs="Arial"/>
          <w:sz w:val="28"/>
          <w:szCs w:val="28"/>
        </w:rPr>
        <w:tab/>
        <w:t xml:space="preserve">(mars 2010) </w:t>
      </w:r>
    </w:p>
    <w:p w:rsidR="00287441" w:rsidRPr="00287441" w:rsidRDefault="00287441" w:rsidP="00287441">
      <w:pPr>
        <w:numPr>
          <w:ilvl w:val="0"/>
          <w:numId w:val="3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Évaluateurs: Profs Chantal Finance, Fawaz Fawaz, Jean Nève et Claude Mailhot  </w:t>
      </w:r>
    </w:p>
    <w:p w:rsidR="00287441" w:rsidRPr="00287441" w:rsidRDefault="00287441" w:rsidP="00287441">
      <w:pPr>
        <w:numPr>
          <w:ilvl w:val="0"/>
          <w:numId w:val="3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Rencontre de l’équipe décanale, d’enseignants, d’étudiants, des responsables de programmes, des responsables administratifs, des responsables de stage, du président du conseil de l’Ordre, du vicerecteur aux relations internationales, du vice-recteur aux affaires académiques et du Recteur </w:t>
      </w:r>
    </w:p>
    <w:p w:rsidR="00287441" w:rsidRPr="00287441" w:rsidRDefault="00287441" w:rsidP="00287441">
      <w:pPr>
        <w:numPr>
          <w:ilvl w:val="0"/>
          <w:numId w:val="3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Visite des locaux et des lieux de stage </w:t>
      </w:r>
    </w:p>
    <w:p w:rsidR="00287441" w:rsidRPr="00287441" w:rsidRDefault="00287441" w:rsidP="00287441">
      <w:pPr>
        <w:numPr>
          <w:ilvl w:val="0"/>
          <w:numId w:val="3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Rapport préliminaire verbal présenté au doyen Karam-Sarkis et au vice-recteur aux affaires académiques de l’Université St-Joseph </w:t>
      </w:r>
    </w:p>
    <w:p w:rsidR="00287441" w:rsidRPr="00287441" w:rsidRDefault="00287441" w:rsidP="00287441">
      <w:pPr>
        <w:spacing w:after="16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0"/>
        <w:ind w:left="72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14" w:line="249" w:lineRule="auto"/>
        <w:ind w:left="730" w:right="1008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Dépôt de rapport : </w:t>
      </w:r>
    </w:p>
    <w:p w:rsidR="00287441" w:rsidRPr="00287441" w:rsidRDefault="00287441" w:rsidP="00287441">
      <w:pPr>
        <w:spacing w:after="0"/>
        <w:ind w:left="72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14" w:line="249" w:lineRule="auto"/>
        <w:ind w:left="1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Rapport d’évaluation Faculté de Pharmacie de l’Université St-Joseph déposé auprès du Doyen et du Recteur en août 2010. </w:t>
      </w:r>
    </w:p>
    <w:p w:rsidR="00287441" w:rsidRPr="00287441" w:rsidRDefault="00287441" w:rsidP="00287441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16"/>
        <w:ind w:left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14" w:line="249" w:lineRule="auto"/>
        <w:ind w:left="718" w:right="1008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Planification des activités pour 2011-2012 : </w:t>
      </w:r>
    </w:p>
    <w:p w:rsidR="00287441" w:rsidRPr="00287441" w:rsidRDefault="00287441" w:rsidP="00287441">
      <w:pPr>
        <w:spacing w:after="0"/>
        <w:ind w:left="708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4"/>
        </w:numPr>
        <w:spacing w:after="14" w:line="249" w:lineRule="auto"/>
        <w:ind w:hanging="269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Visites préparatoires </w:t>
      </w:r>
      <w:r w:rsidRPr="00287441">
        <w:rPr>
          <w:rFonts w:asciiTheme="majorHAnsi" w:eastAsia="Arial" w:hAnsiTheme="majorHAnsi" w:cs="Arial"/>
          <w:b/>
          <w:sz w:val="28"/>
          <w:szCs w:val="28"/>
        </w:rPr>
        <w:t>2011</w:t>
      </w:r>
      <w:r w:rsidRPr="00287441">
        <w:rPr>
          <w:rFonts w:asciiTheme="majorHAnsi" w:eastAsia="Arial" w:hAnsiTheme="majorHAnsi" w:cs="Arial"/>
          <w:sz w:val="28"/>
          <w:szCs w:val="28"/>
        </w:rPr>
        <w:t>:</w:t>
      </w: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Angers (à confirmer)  </w:t>
      </w:r>
      <w:r w:rsidRPr="00287441">
        <w:rPr>
          <w:rFonts w:asciiTheme="majorHAnsi" w:eastAsia="Segoe UI Symbol" w:hAnsiTheme="majorHAnsi" w:cs="Segoe UI Symbol"/>
          <w:sz w:val="28"/>
          <w:szCs w:val="28"/>
        </w:rPr>
        <w:t>•</w:t>
      </w:r>
      <w:r w:rsidRPr="00287441">
        <w:rPr>
          <w:rFonts w:asciiTheme="majorHAnsi" w:eastAsia="Arial" w:hAnsiTheme="majorHAnsi" w:cs="Arial"/>
          <w:sz w:val="28"/>
          <w:szCs w:val="28"/>
        </w:rPr>
        <w:t xml:space="preserve"> Reims (à confirmer)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Autres? </w:t>
      </w:r>
    </w:p>
    <w:p w:rsidR="00287441" w:rsidRPr="00287441" w:rsidRDefault="00287441" w:rsidP="00287441">
      <w:pPr>
        <w:spacing w:after="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4"/>
        </w:numPr>
        <w:spacing w:after="14" w:line="249" w:lineRule="auto"/>
        <w:ind w:hanging="269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Visite d’évaluation </w:t>
      </w:r>
      <w:r w:rsidRPr="00287441">
        <w:rPr>
          <w:rFonts w:asciiTheme="majorHAnsi" w:eastAsia="Arial" w:hAnsiTheme="majorHAnsi" w:cs="Arial"/>
          <w:b/>
          <w:sz w:val="28"/>
          <w:szCs w:val="28"/>
        </w:rPr>
        <w:t>2011</w:t>
      </w:r>
      <w:r w:rsidRPr="00287441">
        <w:rPr>
          <w:rFonts w:asciiTheme="majorHAnsi" w:eastAsia="Arial" w:hAnsiTheme="majorHAnsi" w:cs="Arial"/>
          <w:sz w:val="28"/>
          <w:szCs w:val="28"/>
        </w:rPr>
        <w:t xml:space="preserve"> :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Tours (6-9 Juin 2011) Évaluateurs : Rached Azaiez, Chantal Finance, Jean-Marie Gazengel, Claude Mailhot </w:t>
      </w:r>
    </w:p>
    <w:p w:rsidR="00287441" w:rsidRPr="00287441" w:rsidRDefault="00287441" w:rsidP="00287441">
      <w:pPr>
        <w:spacing w:after="0"/>
        <w:ind w:left="1073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4"/>
        </w:numPr>
        <w:spacing w:after="14" w:line="249" w:lineRule="auto"/>
        <w:ind w:hanging="269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Visites préparatoires </w:t>
      </w:r>
      <w:r w:rsidRPr="00287441">
        <w:rPr>
          <w:rFonts w:asciiTheme="majorHAnsi" w:eastAsia="Arial" w:hAnsiTheme="majorHAnsi" w:cs="Arial"/>
          <w:b/>
          <w:sz w:val="28"/>
          <w:szCs w:val="28"/>
        </w:rPr>
        <w:t>2012</w:t>
      </w:r>
      <w:r w:rsidRPr="00287441">
        <w:rPr>
          <w:rFonts w:asciiTheme="majorHAnsi" w:eastAsia="Arial" w:hAnsiTheme="majorHAnsi" w:cs="Arial"/>
          <w:sz w:val="28"/>
          <w:szCs w:val="28"/>
        </w:rPr>
        <w:t xml:space="preserve"> :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Abidjan (à confirmer)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Lyon (à confirmer)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Dijon (à confirmer)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Clermont-Ferrand (à confirmer)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Rouen (à confirmer)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Bordeaux (à confirmer)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Toulouse (à confirmer)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Marseille (à confirmer) </w:t>
      </w:r>
    </w:p>
    <w:p w:rsidR="00287441" w:rsidRPr="00287441" w:rsidRDefault="00287441" w:rsidP="00287441">
      <w:pPr>
        <w:spacing w:after="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4"/>
        </w:numPr>
        <w:spacing w:after="14" w:line="249" w:lineRule="auto"/>
        <w:ind w:hanging="269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>Visites d’évaluation</w:t>
      </w: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2012 </w:t>
      </w:r>
      <w:r w:rsidRPr="00287441">
        <w:rPr>
          <w:rFonts w:asciiTheme="majorHAnsi" w:eastAsia="Arial" w:hAnsiTheme="majorHAnsi" w:cs="Arial"/>
          <w:sz w:val="28"/>
          <w:szCs w:val="28"/>
        </w:rPr>
        <w:t xml:space="preserve">: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Cotonou (Dates à confirmer) </w:t>
      </w:r>
    </w:p>
    <w:p w:rsidR="00287441" w:rsidRPr="00287441" w:rsidRDefault="00287441" w:rsidP="00287441">
      <w:pPr>
        <w:numPr>
          <w:ilvl w:val="1"/>
          <w:numId w:val="4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Université Libanaise (Janvier 2012) </w:t>
      </w:r>
    </w:p>
    <w:p w:rsidR="00287441" w:rsidRPr="00287441" w:rsidRDefault="00287441" w:rsidP="00287441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287441" w:rsidRDefault="00287441" w:rsidP="00287441">
      <w:pPr>
        <w:spacing w:after="0"/>
        <w:ind w:left="360"/>
        <w:rPr>
          <w:rFonts w:asciiTheme="majorHAnsi" w:eastAsia="Arial" w:hAnsiTheme="majorHAnsi" w:cs="Arial"/>
          <w:b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 </w:t>
      </w:r>
    </w:p>
    <w:p w:rsidR="00567799" w:rsidRDefault="00567799" w:rsidP="00287441">
      <w:pPr>
        <w:spacing w:after="0"/>
        <w:ind w:left="360"/>
        <w:rPr>
          <w:rFonts w:asciiTheme="majorHAnsi" w:eastAsia="Arial" w:hAnsiTheme="majorHAnsi" w:cs="Arial"/>
          <w:b/>
          <w:sz w:val="28"/>
          <w:szCs w:val="28"/>
        </w:rPr>
      </w:pPr>
    </w:p>
    <w:p w:rsidR="00567799" w:rsidRPr="00287441" w:rsidRDefault="00567799" w:rsidP="00287441">
      <w:pPr>
        <w:spacing w:after="0"/>
        <w:ind w:left="360"/>
        <w:rPr>
          <w:rFonts w:asciiTheme="majorHAnsi" w:hAnsiTheme="majorHAnsi"/>
          <w:sz w:val="28"/>
          <w:szCs w:val="28"/>
        </w:rPr>
      </w:pPr>
    </w:p>
    <w:p w:rsidR="00287441" w:rsidRPr="00287441" w:rsidRDefault="00287441" w:rsidP="00287441">
      <w:pPr>
        <w:spacing w:after="5" w:line="250" w:lineRule="auto"/>
        <w:ind w:left="355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b/>
          <w:sz w:val="28"/>
          <w:szCs w:val="28"/>
        </w:rPr>
        <w:t xml:space="preserve">Propositions à l’assemblée générale annuelle de la CIDPHARMEF: </w:t>
      </w:r>
    </w:p>
    <w:p w:rsidR="00287441" w:rsidRPr="00287441" w:rsidRDefault="00287441" w:rsidP="00287441">
      <w:pPr>
        <w:spacing w:after="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5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Adopter la nouvelle version de la politique et méthodologie d’évaluation des programmes d’études pharmaceutiques et des facultés de pharmacie; </w:t>
      </w:r>
    </w:p>
    <w:p w:rsidR="00287441" w:rsidRPr="00287441" w:rsidRDefault="00287441" w:rsidP="00287441">
      <w:pPr>
        <w:spacing w:after="0"/>
        <w:ind w:left="708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5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Recevoir les nouveaux outils développés par la Commission d’évaluation: </w:t>
      </w:r>
    </w:p>
    <w:p w:rsidR="00287441" w:rsidRPr="00287441" w:rsidRDefault="00287441" w:rsidP="00287441">
      <w:pPr>
        <w:spacing w:after="14" w:line="249" w:lineRule="auto"/>
        <w:ind w:left="1075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Segoe UI Symbol" w:hAnsiTheme="majorHAnsi" w:cs="Segoe UI Symbol"/>
          <w:sz w:val="28"/>
          <w:szCs w:val="28"/>
        </w:rPr>
        <w:t>•</w:t>
      </w:r>
      <w:r w:rsidRPr="00287441">
        <w:rPr>
          <w:rFonts w:asciiTheme="majorHAnsi" w:eastAsia="Arial" w:hAnsiTheme="majorHAnsi" w:cs="Arial"/>
          <w:sz w:val="28"/>
          <w:szCs w:val="28"/>
        </w:rPr>
        <w:t xml:space="preserve"> Canevas du plan d’action du doyen; </w:t>
      </w:r>
    </w:p>
    <w:p w:rsidR="00287441" w:rsidRPr="00287441" w:rsidRDefault="00287441" w:rsidP="00287441">
      <w:pPr>
        <w:spacing w:after="0"/>
        <w:ind w:left="1433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5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Nommer un groupe de travail qui aura pour mandat de développer des </w:t>
      </w:r>
    </w:p>
    <w:p w:rsidR="00287441" w:rsidRPr="00287441" w:rsidRDefault="00287441" w:rsidP="00287441">
      <w:pPr>
        <w:spacing w:after="14" w:line="249" w:lineRule="auto"/>
        <w:ind w:left="730" w:hanging="1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Normes de base CIDPHARMEF; </w:t>
      </w:r>
    </w:p>
    <w:p w:rsidR="00287441" w:rsidRPr="00287441" w:rsidRDefault="00287441" w:rsidP="00287441">
      <w:pPr>
        <w:spacing w:after="0"/>
        <w:ind w:left="72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 </w:t>
      </w:r>
    </w:p>
    <w:p w:rsidR="00287441" w:rsidRPr="00287441" w:rsidRDefault="00287441" w:rsidP="00287441">
      <w:pPr>
        <w:numPr>
          <w:ilvl w:val="0"/>
          <w:numId w:val="5"/>
        </w:numPr>
        <w:spacing w:after="14" w:line="249" w:lineRule="auto"/>
        <w:ind w:hanging="360"/>
        <w:rPr>
          <w:rFonts w:asciiTheme="majorHAnsi" w:hAnsiTheme="majorHAnsi"/>
          <w:sz w:val="28"/>
          <w:szCs w:val="28"/>
        </w:rPr>
      </w:pPr>
      <w:r w:rsidRPr="00287441">
        <w:rPr>
          <w:rFonts w:asciiTheme="majorHAnsi" w:eastAsia="Arial" w:hAnsiTheme="majorHAnsi" w:cs="Arial"/>
          <w:sz w:val="28"/>
          <w:szCs w:val="28"/>
        </w:rPr>
        <w:t xml:space="preserve">Déposer la politique d’évaluation révisée ainsi que les outils d’évaluation sur le site WEB de la CIDPHARMEF.  </w:t>
      </w:r>
    </w:p>
    <w:p w:rsidR="00287441" w:rsidRDefault="00287441"/>
    <w:sectPr w:rsidR="0028744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00" w:rsidRDefault="00B82500" w:rsidP="00287441">
      <w:pPr>
        <w:spacing w:after="0" w:line="240" w:lineRule="auto"/>
      </w:pPr>
      <w:r>
        <w:separator/>
      </w:r>
    </w:p>
  </w:endnote>
  <w:endnote w:type="continuationSeparator" w:id="0">
    <w:p w:rsidR="00B82500" w:rsidRDefault="00B82500" w:rsidP="0028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00" w:rsidRDefault="00B82500" w:rsidP="00287441">
      <w:pPr>
        <w:spacing w:after="0" w:line="240" w:lineRule="auto"/>
      </w:pPr>
      <w:r>
        <w:separator/>
      </w:r>
    </w:p>
  </w:footnote>
  <w:footnote w:type="continuationSeparator" w:id="0">
    <w:p w:rsidR="00B82500" w:rsidRDefault="00B82500" w:rsidP="0028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99" w:rsidRDefault="00567799" w:rsidP="00567799">
    <w:pPr>
      <w:spacing w:after="14" w:line="247" w:lineRule="auto"/>
      <w:ind w:left="1416" w:right="1008"/>
      <w:rPr>
        <w:rFonts w:cs="Times New Roman"/>
        <w:color w:val="70AD76"/>
        <w:sz w:val="24"/>
        <w:szCs w:val="27"/>
        <w:shd w:val="clear" w:color="auto" w:fill="FFFFFF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C6B245C" wp14:editId="155EB9E3">
          <wp:simplePos x="0" y="0"/>
          <wp:positionH relativeFrom="column">
            <wp:posOffset>-666619</wp:posOffset>
          </wp:positionH>
          <wp:positionV relativeFrom="paragraph">
            <wp:posOffset>-280436</wp:posOffset>
          </wp:positionV>
          <wp:extent cx="1423382" cy="645090"/>
          <wp:effectExtent l="0" t="0" r="571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382" cy="64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color w:val="70AD76"/>
        <w:sz w:val="24"/>
        <w:szCs w:val="27"/>
        <w:shd w:val="clear" w:color="auto" w:fill="FFFFFF"/>
      </w:rPr>
      <w:t xml:space="preserve">Conférence Internationale des Doyens </w:t>
    </w:r>
    <w:r>
      <w:rPr>
        <w:rFonts w:cs="Times New Roman"/>
        <w:color w:val="70AD76"/>
        <w:sz w:val="24"/>
        <w:szCs w:val="27"/>
        <w:shd w:val="clear" w:color="auto" w:fill="FFFFFF"/>
      </w:rPr>
      <w:br/>
      <w:t>des Facultés de Pharmacie d'Expression Française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0662"/>
    <w:multiLevelType w:val="hybridMultilevel"/>
    <w:tmpl w:val="0486E40C"/>
    <w:lvl w:ilvl="0" w:tplc="2902986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A2D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4E1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254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AC2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CCC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84C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4D8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E8B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13A7D"/>
    <w:multiLevelType w:val="hybridMultilevel"/>
    <w:tmpl w:val="0D561BDE"/>
    <w:lvl w:ilvl="0" w:tplc="76CA8A0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0F8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E07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400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877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E2A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2F4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4CF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6A1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A75FD1"/>
    <w:multiLevelType w:val="hybridMultilevel"/>
    <w:tmpl w:val="363280AA"/>
    <w:lvl w:ilvl="0" w:tplc="7756A654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8036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E75F0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4E084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AC8F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A6BB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2951C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696EC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2B4B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200D4F"/>
    <w:multiLevelType w:val="hybridMultilevel"/>
    <w:tmpl w:val="8B1428AE"/>
    <w:lvl w:ilvl="0" w:tplc="EDBA8D0E">
      <w:start w:val="1"/>
      <w:numFmt w:val="bullet"/>
      <w:lvlText w:val="•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7942">
      <w:start w:val="1"/>
      <w:numFmt w:val="bullet"/>
      <w:lvlText w:val="o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0D27E">
      <w:start w:val="1"/>
      <w:numFmt w:val="bullet"/>
      <w:lvlText w:val="▪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0748C">
      <w:start w:val="1"/>
      <w:numFmt w:val="bullet"/>
      <w:lvlText w:val="•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05400">
      <w:start w:val="1"/>
      <w:numFmt w:val="bullet"/>
      <w:lvlText w:val="o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8F5F2">
      <w:start w:val="1"/>
      <w:numFmt w:val="bullet"/>
      <w:lvlText w:val="▪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C18DC">
      <w:start w:val="1"/>
      <w:numFmt w:val="bullet"/>
      <w:lvlText w:val="•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22F5A">
      <w:start w:val="1"/>
      <w:numFmt w:val="bullet"/>
      <w:lvlText w:val="o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0D8B8">
      <w:start w:val="1"/>
      <w:numFmt w:val="bullet"/>
      <w:lvlText w:val="▪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4F1101"/>
    <w:multiLevelType w:val="hybridMultilevel"/>
    <w:tmpl w:val="189EE298"/>
    <w:lvl w:ilvl="0" w:tplc="75048FA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425CA">
      <w:start w:val="1"/>
      <w:numFmt w:val="bullet"/>
      <w:lvlText w:val="•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870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EDF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40D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C32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620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6E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E586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41"/>
    <w:rsid w:val="00274561"/>
    <w:rsid w:val="00287441"/>
    <w:rsid w:val="002B5F2A"/>
    <w:rsid w:val="00567799"/>
    <w:rsid w:val="00711F55"/>
    <w:rsid w:val="0073479C"/>
    <w:rsid w:val="00780E73"/>
    <w:rsid w:val="009E7616"/>
    <w:rsid w:val="00A5668F"/>
    <w:rsid w:val="00B82500"/>
    <w:rsid w:val="00C22EA2"/>
    <w:rsid w:val="00C6654A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319DA-5945-4129-8088-B00BD06B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74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441"/>
  </w:style>
  <w:style w:type="paragraph" w:styleId="Pieddepage">
    <w:name w:val="footer"/>
    <w:basedOn w:val="Normal"/>
    <w:link w:val="PieddepageCar"/>
    <w:uiPriority w:val="99"/>
    <w:unhideWhenUsed/>
    <w:rsid w:val="002874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 Guilmain Laurence</dc:creator>
  <cp:lastModifiedBy>Charpiot</cp:lastModifiedBy>
  <cp:revision>2</cp:revision>
  <dcterms:created xsi:type="dcterms:W3CDTF">2016-02-14T21:10:00Z</dcterms:created>
  <dcterms:modified xsi:type="dcterms:W3CDTF">2016-02-26T15:56:00Z</dcterms:modified>
</cp:coreProperties>
</file>