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AE" w:rsidRDefault="000D3CAE" w:rsidP="000D3CAE">
      <w:pPr>
        <w:spacing w:after="14" w:line="249" w:lineRule="auto"/>
        <w:ind w:left="-5" w:right="1008" w:hanging="10"/>
        <w:rPr>
          <w:rFonts w:ascii="Arial" w:eastAsia="Arial" w:hAnsi="Arial" w:cs="Arial"/>
          <w:b/>
          <w:sz w:val="28"/>
        </w:rPr>
      </w:pPr>
      <w:r w:rsidRPr="00676E0F">
        <w:rPr>
          <w:rFonts w:ascii="Arial" w:eastAsia="Arial" w:hAnsi="Arial" w:cs="Arial"/>
          <w:b/>
          <w:color w:val="2E74B5" w:themeColor="accent1" w:themeShade="BF"/>
          <w:sz w:val="28"/>
        </w:rPr>
        <w:t>_________________________________________________</w:t>
      </w:r>
    </w:p>
    <w:p w:rsidR="000D3CAE" w:rsidRDefault="000D3CAE" w:rsidP="000D3CAE">
      <w:pPr>
        <w:spacing w:after="14" w:line="249" w:lineRule="auto"/>
        <w:ind w:left="-5" w:right="1008" w:hanging="10"/>
        <w:jc w:val="center"/>
        <w:rPr>
          <w:rFonts w:ascii="Arial" w:eastAsia="Arial" w:hAnsi="Arial" w:cs="Arial"/>
          <w:b/>
          <w:sz w:val="28"/>
        </w:rPr>
      </w:pPr>
    </w:p>
    <w:p w:rsidR="000D3CAE" w:rsidRDefault="000D3CAE" w:rsidP="000D3CAE">
      <w:pPr>
        <w:spacing w:after="14" w:line="249" w:lineRule="auto"/>
        <w:ind w:left="-5" w:right="1008" w:hanging="10"/>
        <w:rPr>
          <w:rFonts w:ascii="Arial" w:eastAsia="Arial" w:hAnsi="Arial" w:cs="Arial"/>
          <w:b/>
          <w:sz w:val="28"/>
        </w:rPr>
      </w:pPr>
      <w:r>
        <w:rPr>
          <w:rFonts w:ascii="Arial" w:eastAsia="Arial" w:hAnsi="Arial" w:cs="Arial"/>
          <w:b/>
          <w:sz w:val="28"/>
        </w:rPr>
        <w:t xml:space="preserve">       Bilan des activités de la Commission d’évaluation</w:t>
      </w:r>
    </w:p>
    <w:p w:rsidR="000D3CAE" w:rsidRDefault="000D3CAE" w:rsidP="000D3CAE">
      <w:pPr>
        <w:spacing w:after="14" w:line="249" w:lineRule="auto"/>
        <w:ind w:left="-5" w:right="1008" w:hanging="10"/>
        <w:jc w:val="center"/>
        <w:rPr>
          <w:rFonts w:ascii="Arial" w:eastAsia="Comic Sans MS" w:hAnsi="Arial" w:cs="Arial"/>
          <w:sz w:val="24"/>
        </w:rPr>
      </w:pPr>
      <w:r w:rsidRPr="0082367D">
        <w:rPr>
          <w:rFonts w:ascii="Arial" w:eastAsia="Arial" w:hAnsi="Arial" w:cs="Arial"/>
          <w:sz w:val="24"/>
        </w:rPr>
        <w:t xml:space="preserve"> (</w:t>
      </w:r>
      <w:r>
        <w:rPr>
          <w:rFonts w:ascii="Arial" w:eastAsia="Arial" w:hAnsi="Arial" w:cs="Arial"/>
          <w:sz w:val="24"/>
        </w:rPr>
        <w:t>Mai 2011 à Avril 2012</w:t>
      </w:r>
      <w:r w:rsidRPr="0082367D">
        <w:rPr>
          <w:rFonts w:ascii="Arial" w:eastAsia="Comic Sans MS" w:hAnsi="Arial" w:cs="Arial"/>
          <w:sz w:val="24"/>
        </w:rPr>
        <w:t>)</w:t>
      </w:r>
    </w:p>
    <w:p w:rsidR="000D3CAE" w:rsidRDefault="000D3CAE" w:rsidP="000D3CAE">
      <w:pPr>
        <w:spacing w:after="14" w:line="249" w:lineRule="auto"/>
        <w:ind w:left="-5" w:right="1008" w:hanging="10"/>
        <w:jc w:val="center"/>
        <w:rPr>
          <w:rFonts w:ascii="Arial" w:eastAsia="Comic Sans MS" w:hAnsi="Arial" w:cs="Arial"/>
          <w:sz w:val="24"/>
        </w:rPr>
      </w:pPr>
      <w:r>
        <w:rPr>
          <w:rFonts w:ascii="Arial" w:eastAsia="Comic Sans MS" w:hAnsi="Arial" w:cs="Arial"/>
          <w:sz w:val="24"/>
        </w:rPr>
        <w:t>(Beyrouth, 2012)</w:t>
      </w:r>
    </w:p>
    <w:p w:rsidR="000D3CAE" w:rsidRDefault="000D3CAE" w:rsidP="000D3CAE">
      <w:pPr>
        <w:spacing w:after="14" w:line="249" w:lineRule="auto"/>
        <w:ind w:left="-5" w:right="1008" w:hanging="10"/>
        <w:jc w:val="center"/>
        <w:rPr>
          <w:rFonts w:ascii="Arial" w:eastAsia="Comic Sans MS" w:hAnsi="Arial" w:cs="Arial"/>
          <w:sz w:val="24"/>
        </w:rPr>
      </w:pPr>
    </w:p>
    <w:p w:rsidR="000D3CAE" w:rsidRPr="000D3CAE" w:rsidRDefault="000D3CAE" w:rsidP="000D3CAE">
      <w:pPr>
        <w:spacing w:after="14" w:line="249" w:lineRule="auto"/>
        <w:ind w:left="370" w:hanging="10"/>
        <w:rPr>
          <w:rFonts w:asciiTheme="majorHAnsi" w:hAnsiTheme="majorHAnsi"/>
          <w:sz w:val="28"/>
          <w:szCs w:val="28"/>
        </w:rPr>
      </w:pPr>
      <w:r w:rsidRPr="000D3CAE">
        <w:rPr>
          <w:rFonts w:asciiTheme="majorHAnsi" w:eastAsia="Arial" w:hAnsiTheme="majorHAnsi" w:cs="Arial"/>
          <w:sz w:val="28"/>
          <w:szCs w:val="28"/>
        </w:rPr>
        <w:t xml:space="preserve">Les membres: </w:t>
      </w:r>
    </w:p>
    <w:p w:rsidR="000D3CAE" w:rsidRPr="000D3CAE" w:rsidRDefault="000D3CAE" w:rsidP="000D3CAE">
      <w:pPr>
        <w:spacing w:after="14" w:line="249" w:lineRule="auto"/>
        <w:ind w:left="1428" w:hanging="10"/>
        <w:rPr>
          <w:rFonts w:asciiTheme="majorHAnsi" w:hAnsiTheme="majorHAnsi"/>
          <w:sz w:val="28"/>
          <w:szCs w:val="28"/>
        </w:rPr>
      </w:pPr>
      <w:r w:rsidRPr="000D3CAE">
        <w:rPr>
          <w:rFonts w:asciiTheme="majorHAnsi" w:eastAsia="Arial" w:hAnsiTheme="majorHAnsi" w:cs="Arial"/>
          <w:sz w:val="28"/>
          <w:szCs w:val="28"/>
        </w:rPr>
        <w:t xml:space="preserve">Martine Aiach (Paris) </w:t>
      </w:r>
    </w:p>
    <w:p w:rsidR="000D3CAE" w:rsidRPr="000D3CAE" w:rsidRDefault="000D3CAE" w:rsidP="000D3CAE">
      <w:pPr>
        <w:spacing w:after="14" w:line="249" w:lineRule="auto"/>
        <w:ind w:left="1450" w:hanging="10"/>
        <w:rPr>
          <w:rFonts w:asciiTheme="majorHAnsi" w:hAnsiTheme="majorHAnsi"/>
          <w:sz w:val="28"/>
          <w:szCs w:val="28"/>
        </w:rPr>
      </w:pPr>
      <w:r w:rsidRPr="000D3CAE">
        <w:rPr>
          <w:rFonts w:asciiTheme="majorHAnsi" w:eastAsia="Arial" w:hAnsiTheme="majorHAnsi" w:cs="Arial"/>
          <w:sz w:val="28"/>
          <w:szCs w:val="28"/>
        </w:rPr>
        <w:t xml:space="preserve">Rached Azaiez (Monastir)  </w:t>
      </w:r>
    </w:p>
    <w:p w:rsidR="000D3CAE" w:rsidRPr="000D3CAE" w:rsidRDefault="000D3CAE" w:rsidP="000D3CAE">
      <w:pPr>
        <w:spacing w:after="14" w:line="249" w:lineRule="auto"/>
        <w:ind w:left="1450" w:hanging="10"/>
        <w:rPr>
          <w:rFonts w:asciiTheme="majorHAnsi" w:hAnsiTheme="majorHAnsi"/>
          <w:sz w:val="28"/>
          <w:szCs w:val="28"/>
        </w:rPr>
      </w:pPr>
      <w:r w:rsidRPr="000D3CAE">
        <w:rPr>
          <w:rFonts w:asciiTheme="majorHAnsi" w:eastAsia="Arial" w:hAnsiTheme="majorHAnsi" w:cs="Arial"/>
          <w:sz w:val="28"/>
          <w:szCs w:val="28"/>
        </w:rPr>
        <w:t xml:space="preserve">André Bigot (Cotonou) </w:t>
      </w:r>
    </w:p>
    <w:p w:rsidR="000D3CAE" w:rsidRPr="000D3CAE" w:rsidRDefault="000D3CAE" w:rsidP="000D3CAE">
      <w:pPr>
        <w:spacing w:after="14" w:line="249" w:lineRule="auto"/>
        <w:ind w:left="1426" w:hanging="10"/>
        <w:rPr>
          <w:rFonts w:asciiTheme="majorHAnsi" w:hAnsiTheme="majorHAnsi"/>
          <w:sz w:val="28"/>
          <w:szCs w:val="28"/>
        </w:rPr>
      </w:pPr>
      <w:r w:rsidRPr="000D3CAE">
        <w:rPr>
          <w:rFonts w:asciiTheme="majorHAnsi" w:eastAsia="Arial" w:hAnsiTheme="majorHAnsi" w:cs="Arial"/>
          <w:sz w:val="28"/>
          <w:szCs w:val="28"/>
        </w:rPr>
        <w:t xml:space="preserve">Yahia Cherrah (Rabat) </w:t>
      </w:r>
    </w:p>
    <w:p w:rsidR="000D3CAE" w:rsidRPr="000D3CAE" w:rsidRDefault="000D3CAE" w:rsidP="000D3CAE">
      <w:pPr>
        <w:tabs>
          <w:tab w:val="center" w:pos="3045"/>
        </w:tabs>
        <w:spacing w:after="14" w:line="249" w:lineRule="auto"/>
        <w:rPr>
          <w:rFonts w:asciiTheme="majorHAnsi" w:hAnsiTheme="majorHAnsi"/>
          <w:sz w:val="28"/>
          <w:szCs w:val="28"/>
        </w:rPr>
      </w:pPr>
      <w:r w:rsidRPr="000D3CAE">
        <w:rPr>
          <w:rFonts w:asciiTheme="majorHAnsi" w:eastAsia="Arial" w:hAnsiTheme="majorHAnsi" w:cs="Arial"/>
          <w:sz w:val="28"/>
          <w:szCs w:val="28"/>
        </w:rPr>
        <w:t xml:space="preserve"> </w:t>
      </w:r>
      <w:r w:rsidRPr="000D3CAE">
        <w:rPr>
          <w:rFonts w:asciiTheme="majorHAnsi" w:eastAsia="Arial" w:hAnsiTheme="majorHAnsi" w:cs="Arial"/>
          <w:sz w:val="28"/>
          <w:szCs w:val="28"/>
        </w:rPr>
        <w:tab/>
        <w:t xml:space="preserve">Jean-Charles Corbel (Rennes) </w:t>
      </w:r>
    </w:p>
    <w:p w:rsidR="000D3CAE" w:rsidRPr="000D3CAE" w:rsidRDefault="000D3CAE" w:rsidP="000D3CAE">
      <w:pPr>
        <w:tabs>
          <w:tab w:val="center" w:pos="2703"/>
        </w:tabs>
        <w:spacing w:after="14" w:line="249" w:lineRule="auto"/>
        <w:rPr>
          <w:rFonts w:asciiTheme="majorHAnsi" w:hAnsiTheme="majorHAnsi"/>
          <w:sz w:val="28"/>
          <w:szCs w:val="28"/>
        </w:rPr>
      </w:pPr>
      <w:r w:rsidRPr="000D3CAE">
        <w:rPr>
          <w:rFonts w:asciiTheme="majorHAnsi" w:eastAsia="Arial" w:hAnsiTheme="majorHAnsi" w:cs="Arial"/>
          <w:sz w:val="28"/>
          <w:szCs w:val="28"/>
        </w:rPr>
        <w:t xml:space="preserve"> </w:t>
      </w:r>
      <w:r w:rsidRPr="000D3CAE">
        <w:rPr>
          <w:rFonts w:asciiTheme="majorHAnsi" w:eastAsia="Arial" w:hAnsiTheme="majorHAnsi" w:cs="Arial"/>
          <w:sz w:val="28"/>
          <w:szCs w:val="28"/>
        </w:rPr>
        <w:tab/>
        <w:t xml:space="preserve">Gilles Duverlie (Amiens) </w:t>
      </w:r>
    </w:p>
    <w:p w:rsidR="000D3CAE" w:rsidRPr="000D3CAE" w:rsidRDefault="000D3CAE" w:rsidP="000D3CAE">
      <w:pPr>
        <w:spacing w:after="14" w:line="249" w:lineRule="auto"/>
        <w:ind w:left="1426" w:right="3294" w:hanging="10"/>
        <w:rPr>
          <w:rFonts w:asciiTheme="majorHAnsi" w:hAnsiTheme="majorHAnsi"/>
          <w:sz w:val="28"/>
          <w:szCs w:val="28"/>
        </w:rPr>
      </w:pPr>
      <w:r w:rsidRPr="000D3CAE">
        <w:rPr>
          <w:rFonts w:asciiTheme="majorHAnsi" w:eastAsia="Arial" w:hAnsiTheme="majorHAnsi" w:cs="Arial"/>
          <w:sz w:val="28"/>
          <w:szCs w:val="28"/>
        </w:rPr>
        <w:t xml:space="preserve">Chantal Finance (Nancy) Jean-Marie Gazengel (Caen) </w:t>
      </w:r>
    </w:p>
    <w:p w:rsidR="000D3CAE" w:rsidRPr="000D3CAE" w:rsidRDefault="000D3CAE" w:rsidP="000D3CAE">
      <w:pPr>
        <w:spacing w:after="14" w:line="249" w:lineRule="auto"/>
        <w:ind w:left="1450" w:hanging="10"/>
        <w:rPr>
          <w:rFonts w:asciiTheme="majorHAnsi" w:hAnsiTheme="majorHAnsi"/>
          <w:sz w:val="28"/>
          <w:szCs w:val="28"/>
        </w:rPr>
      </w:pPr>
      <w:r w:rsidRPr="000D3CAE">
        <w:rPr>
          <w:rFonts w:asciiTheme="majorHAnsi" w:eastAsia="Arial" w:hAnsiTheme="majorHAnsi" w:cs="Arial"/>
          <w:sz w:val="28"/>
          <w:szCs w:val="28"/>
        </w:rPr>
        <w:t xml:space="preserve">Jean-Pierre Grégoire (Québec) </w:t>
      </w:r>
    </w:p>
    <w:p w:rsidR="000D3CAE" w:rsidRPr="000D3CAE" w:rsidRDefault="000D3CAE" w:rsidP="000D3CAE">
      <w:pPr>
        <w:spacing w:after="14" w:line="249" w:lineRule="auto"/>
        <w:ind w:left="1450" w:hanging="10"/>
        <w:rPr>
          <w:rFonts w:asciiTheme="majorHAnsi" w:hAnsiTheme="majorHAnsi"/>
          <w:sz w:val="28"/>
          <w:szCs w:val="28"/>
        </w:rPr>
      </w:pPr>
      <w:r w:rsidRPr="000D3CAE">
        <w:rPr>
          <w:rFonts w:asciiTheme="majorHAnsi" w:eastAsia="Arial" w:hAnsiTheme="majorHAnsi" w:cs="Arial"/>
          <w:sz w:val="28"/>
          <w:szCs w:val="28"/>
        </w:rPr>
        <w:t xml:space="preserve">Alain Gueiffier (Tours) </w:t>
      </w:r>
    </w:p>
    <w:p w:rsidR="000D3CAE" w:rsidRPr="000D3CAE" w:rsidRDefault="000D3CAE" w:rsidP="000D3CAE">
      <w:pPr>
        <w:spacing w:after="14" w:line="249" w:lineRule="auto"/>
        <w:ind w:left="1450" w:hanging="10"/>
        <w:rPr>
          <w:rFonts w:asciiTheme="majorHAnsi" w:hAnsiTheme="majorHAnsi"/>
          <w:sz w:val="28"/>
          <w:szCs w:val="28"/>
        </w:rPr>
      </w:pPr>
      <w:r w:rsidRPr="000D3CAE">
        <w:rPr>
          <w:rFonts w:asciiTheme="majorHAnsi" w:eastAsia="Arial" w:hAnsiTheme="majorHAnsi" w:cs="Arial"/>
          <w:sz w:val="28"/>
          <w:szCs w:val="28"/>
        </w:rPr>
        <w:t xml:space="preserve">Matthieu Kaltenbach (Reims) </w:t>
      </w:r>
    </w:p>
    <w:p w:rsidR="000D3CAE" w:rsidRPr="000D3CAE" w:rsidRDefault="000D3CAE" w:rsidP="000D3CAE">
      <w:pPr>
        <w:spacing w:after="14" w:line="249" w:lineRule="auto"/>
        <w:ind w:left="1450" w:right="3817" w:hanging="10"/>
        <w:rPr>
          <w:rFonts w:asciiTheme="majorHAnsi" w:hAnsiTheme="majorHAnsi"/>
          <w:sz w:val="28"/>
          <w:szCs w:val="28"/>
        </w:rPr>
      </w:pPr>
      <w:r w:rsidRPr="000D3CAE">
        <w:rPr>
          <w:rFonts w:asciiTheme="majorHAnsi" w:eastAsia="Arial" w:hAnsiTheme="majorHAnsi" w:cs="Arial"/>
          <w:sz w:val="28"/>
          <w:szCs w:val="28"/>
        </w:rPr>
        <w:t xml:space="preserve">Gado Napo-Koura (Lomé) Alain Pineau (Nantes) </w:t>
      </w:r>
    </w:p>
    <w:p w:rsidR="000D3CAE" w:rsidRPr="000D3CAE" w:rsidRDefault="000D3CAE" w:rsidP="000D3CAE">
      <w:pPr>
        <w:spacing w:after="14" w:line="249" w:lineRule="auto"/>
        <w:ind w:left="1426" w:hanging="10"/>
        <w:rPr>
          <w:rFonts w:asciiTheme="majorHAnsi" w:hAnsiTheme="majorHAnsi"/>
          <w:sz w:val="28"/>
          <w:szCs w:val="28"/>
        </w:rPr>
      </w:pPr>
      <w:r w:rsidRPr="000D3CAE">
        <w:rPr>
          <w:rFonts w:asciiTheme="majorHAnsi" w:eastAsia="Arial" w:hAnsiTheme="majorHAnsi" w:cs="Arial"/>
          <w:sz w:val="28"/>
          <w:szCs w:val="28"/>
        </w:rPr>
        <w:t xml:space="preserve">Gladys Prosper (Port-au-Prince) </w:t>
      </w:r>
    </w:p>
    <w:p w:rsidR="000D3CAE" w:rsidRPr="000D3CAE" w:rsidRDefault="000D3CAE" w:rsidP="000D3CAE">
      <w:pPr>
        <w:spacing w:after="14" w:line="249" w:lineRule="auto"/>
        <w:ind w:left="1426" w:hanging="10"/>
        <w:rPr>
          <w:rFonts w:asciiTheme="majorHAnsi" w:hAnsiTheme="majorHAnsi"/>
          <w:sz w:val="28"/>
          <w:szCs w:val="28"/>
        </w:rPr>
      </w:pPr>
      <w:r w:rsidRPr="000D3CAE">
        <w:rPr>
          <w:rFonts w:asciiTheme="majorHAnsi" w:eastAsia="Arial" w:hAnsiTheme="majorHAnsi" w:cs="Arial"/>
          <w:sz w:val="28"/>
          <w:szCs w:val="28"/>
        </w:rPr>
        <w:t xml:space="preserve">Nantenaina Soa Randrianjafisamindrakotroka (Madagascar) Mamadou Sawadogo (Ouagadougou) </w:t>
      </w:r>
    </w:p>
    <w:p w:rsidR="000D3CAE" w:rsidRPr="000D3CAE" w:rsidRDefault="000D3CAE" w:rsidP="000D3CAE">
      <w:pPr>
        <w:spacing w:after="14" w:line="249" w:lineRule="auto"/>
        <w:ind w:left="1450" w:hanging="10"/>
        <w:rPr>
          <w:rFonts w:asciiTheme="majorHAnsi" w:hAnsiTheme="majorHAnsi"/>
          <w:sz w:val="28"/>
          <w:szCs w:val="28"/>
        </w:rPr>
      </w:pPr>
      <w:r w:rsidRPr="000D3CAE">
        <w:rPr>
          <w:rFonts w:asciiTheme="majorHAnsi" w:eastAsia="Arial" w:hAnsiTheme="majorHAnsi" w:cs="Arial"/>
          <w:sz w:val="28"/>
          <w:szCs w:val="28"/>
        </w:rPr>
        <w:t xml:space="preserve">Macha Woronoff-Lemsi (Besançon) </w:t>
      </w:r>
    </w:p>
    <w:p w:rsidR="000D3CAE" w:rsidRPr="000D3CAE" w:rsidRDefault="000D3CAE" w:rsidP="000D3CAE">
      <w:pPr>
        <w:spacing w:after="0"/>
        <w:ind w:left="144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4" w:line="249" w:lineRule="auto"/>
        <w:ind w:left="1450" w:hanging="10"/>
        <w:rPr>
          <w:rFonts w:asciiTheme="majorHAnsi" w:hAnsiTheme="majorHAnsi"/>
          <w:sz w:val="28"/>
          <w:szCs w:val="28"/>
        </w:rPr>
      </w:pPr>
      <w:r w:rsidRPr="000D3CAE">
        <w:rPr>
          <w:rFonts w:asciiTheme="majorHAnsi" w:eastAsia="Arial" w:hAnsiTheme="majorHAnsi" w:cs="Arial"/>
          <w:sz w:val="28"/>
          <w:szCs w:val="28"/>
        </w:rPr>
        <w:t xml:space="preserve">Claude Mailhot (Montréal), présidente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6"/>
        <w:ind w:left="360"/>
        <w:rPr>
          <w:rFonts w:asciiTheme="majorHAnsi" w:hAnsiTheme="majorHAnsi"/>
          <w:sz w:val="28"/>
          <w:szCs w:val="28"/>
        </w:rPr>
      </w:pPr>
      <w:r w:rsidRPr="000D3CAE">
        <w:rPr>
          <w:rFonts w:asciiTheme="majorHAnsi" w:eastAsia="Arial" w:hAnsiTheme="majorHAnsi" w:cs="Arial"/>
          <w:b/>
          <w:sz w:val="28"/>
          <w:szCs w:val="28"/>
        </w:rPr>
        <w:t xml:space="preserve"> </w:t>
      </w:r>
    </w:p>
    <w:p w:rsidR="000D3CAE" w:rsidRPr="000D3CAE" w:rsidRDefault="000D3CAE" w:rsidP="000D3CAE">
      <w:pPr>
        <w:spacing w:after="14" w:line="249" w:lineRule="auto"/>
        <w:ind w:left="-5" w:right="1008" w:hanging="10"/>
        <w:rPr>
          <w:rFonts w:asciiTheme="majorHAnsi" w:hAnsiTheme="majorHAnsi"/>
          <w:sz w:val="28"/>
          <w:szCs w:val="28"/>
        </w:rPr>
      </w:pPr>
      <w:r w:rsidRPr="000D3CAE">
        <w:rPr>
          <w:rFonts w:asciiTheme="majorHAnsi" w:eastAsia="Arial" w:hAnsiTheme="majorHAnsi" w:cs="Arial"/>
          <w:b/>
          <w:sz w:val="28"/>
          <w:szCs w:val="28"/>
        </w:rPr>
        <w:t xml:space="preserve">Développement et mise à jour de documents : </w:t>
      </w:r>
    </w:p>
    <w:p w:rsidR="000D3CAE" w:rsidRPr="000D3CAE" w:rsidRDefault="000D3CAE" w:rsidP="000D3CAE">
      <w:pPr>
        <w:spacing w:after="14" w:line="249" w:lineRule="auto"/>
        <w:ind w:left="720" w:hanging="360"/>
        <w:rPr>
          <w:rFonts w:asciiTheme="majorHAnsi" w:hAnsiTheme="majorHAnsi"/>
          <w:sz w:val="28"/>
          <w:szCs w:val="28"/>
        </w:rPr>
      </w:pPr>
      <w:r w:rsidRPr="000D3CAE">
        <w:rPr>
          <w:rFonts w:asciiTheme="majorHAnsi" w:eastAsia="Arial" w:hAnsiTheme="majorHAnsi" w:cs="Arial"/>
          <w:sz w:val="28"/>
          <w:szCs w:val="28"/>
        </w:rPr>
        <w:t xml:space="preserve">1. Mandat de la commission d’évaluation (incluant responsabilités des membres et du président) </w:t>
      </w:r>
    </w:p>
    <w:p w:rsidR="000D3CAE" w:rsidRPr="000D3CAE" w:rsidRDefault="000D3CAE" w:rsidP="000D3CAE">
      <w:pPr>
        <w:spacing w:after="0"/>
        <w:ind w:left="72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6"/>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4" w:line="249" w:lineRule="auto"/>
        <w:ind w:left="-5" w:right="1008" w:hanging="10"/>
        <w:rPr>
          <w:rFonts w:asciiTheme="majorHAnsi" w:hAnsiTheme="majorHAnsi"/>
          <w:sz w:val="28"/>
          <w:szCs w:val="28"/>
        </w:rPr>
      </w:pPr>
      <w:r w:rsidRPr="000D3CAE">
        <w:rPr>
          <w:rFonts w:asciiTheme="majorHAnsi" w:eastAsia="Arial" w:hAnsiTheme="majorHAnsi" w:cs="Arial"/>
          <w:b/>
          <w:sz w:val="28"/>
          <w:szCs w:val="28"/>
        </w:rPr>
        <w:t xml:space="preserve">Visites préparatoires :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5" w:line="250" w:lineRule="auto"/>
        <w:ind w:left="10" w:hanging="10"/>
        <w:rPr>
          <w:rFonts w:asciiTheme="majorHAnsi" w:hAnsiTheme="majorHAnsi"/>
          <w:sz w:val="28"/>
          <w:szCs w:val="28"/>
        </w:rPr>
      </w:pPr>
      <w:r w:rsidRPr="000D3CAE">
        <w:rPr>
          <w:rFonts w:asciiTheme="majorHAnsi" w:eastAsia="Arial" w:hAnsiTheme="majorHAnsi" w:cs="Arial"/>
          <w:b/>
          <w:sz w:val="28"/>
          <w:szCs w:val="28"/>
        </w:rPr>
        <w:t xml:space="preserve">Objectifs: </w:t>
      </w:r>
    </w:p>
    <w:p w:rsidR="000D3CAE" w:rsidRPr="000D3CAE" w:rsidRDefault="000D3CAE" w:rsidP="000D3CAE">
      <w:pPr>
        <w:spacing w:after="14" w:line="249" w:lineRule="auto"/>
        <w:ind w:left="10" w:hanging="10"/>
        <w:rPr>
          <w:rFonts w:asciiTheme="majorHAnsi" w:hAnsiTheme="majorHAnsi"/>
          <w:sz w:val="28"/>
          <w:szCs w:val="28"/>
        </w:rPr>
      </w:pPr>
      <w:r w:rsidRPr="000D3CAE">
        <w:rPr>
          <w:rFonts w:asciiTheme="majorHAnsi" w:eastAsia="Arial" w:hAnsiTheme="majorHAnsi" w:cs="Arial"/>
          <w:sz w:val="28"/>
          <w:szCs w:val="28"/>
        </w:rPr>
        <w:lastRenderedPageBreak/>
        <w:t xml:space="preserve">Expliquer buts et étapes de la démarche d’évaluation et plus spécifiquement expliquer la démarche d’auto-analyse </w:t>
      </w:r>
    </w:p>
    <w:p w:rsidR="000D3CAE" w:rsidRPr="000D3CAE" w:rsidRDefault="000D3CAE" w:rsidP="000D3CAE">
      <w:pPr>
        <w:numPr>
          <w:ilvl w:val="0"/>
          <w:numId w:val="1"/>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Doyen et collaborateurs </w:t>
      </w:r>
    </w:p>
    <w:p w:rsidR="000D3CAE" w:rsidRPr="000D3CAE" w:rsidRDefault="000D3CAE" w:rsidP="000D3CAE">
      <w:pPr>
        <w:numPr>
          <w:ilvl w:val="0"/>
          <w:numId w:val="1"/>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Enseignants </w:t>
      </w:r>
    </w:p>
    <w:p w:rsidR="000D3CAE" w:rsidRPr="000D3CAE" w:rsidRDefault="000D3CAE" w:rsidP="000D3CAE">
      <w:pPr>
        <w:numPr>
          <w:ilvl w:val="0"/>
          <w:numId w:val="1"/>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Représentants étudiants </w:t>
      </w:r>
    </w:p>
    <w:p w:rsidR="000D3CAE" w:rsidRPr="000D3CAE" w:rsidRDefault="000D3CAE" w:rsidP="000D3CAE">
      <w:pPr>
        <w:spacing w:after="14" w:line="249" w:lineRule="auto"/>
        <w:ind w:left="10" w:hanging="10"/>
        <w:rPr>
          <w:rFonts w:asciiTheme="majorHAnsi" w:hAnsiTheme="majorHAnsi"/>
          <w:sz w:val="28"/>
          <w:szCs w:val="28"/>
        </w:rPr>
      </w:pPr>
      <w:r w:rsidRPr="000D3CAE">
        <w:rPr>
          <w:rFonts w:asciiTheme="majorHAnsi" w:eastAsia="Arial" w:hAnsiTheme="majorHAnsi" w:cs="Arial"/>
          <w:sz w:val="28"/>
          <w:szCs w:val="28"/>
        </w:rPr>
        <w:t xml:space="preserve">Rencontrer les représentants de la Direction de l’Université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b/>
          <w:sz w:val="28"/>
          <w:szCs w:val="28"/>
        </w:rPr>
        <w:t xml:space="preserve"> </w:t>
      </w:r>
    </w:p>
    <w:p w:rsidR="000D3CAE" w:rsidRPr="000D3CAE" w:rsidRDefault="000D3CAE" w:rsidP="000D3CAE">
      <w:pPr>
        <w:numPr>
          <w:ilvl w:val="0"/>
          <w:numId w:val="2"/>
        </w:numPr>
        <w:spacing w:after="5" w:line="250" w:lineRule="auto"/>
        <w:ind w:hanging="348"/>
        <w:rPr>
          <w:rFonts w:asciiTheme="majorHAnsi" w:hAnsiTheme="majorHAnsi"/>
          <w:sz w:val="28"/>
          <w:szCs w:val="28"/>
        </w:rPr>
      </w:pPr>
      <w:r w:rsidRPr="000D3CAE">
        <w:rPr>
          <w:rFonts w:asciiTheme="majorHAnsi" w:eastAsia="Arial" w:hAnsiTheme="majorHAnsi" w:cs="Arial"/>
          <w:b/>
          <w:sz w:val="28"/>
          <w:szCs w:val="28"/>
        </w:rPr>
        <w:t>Faculté de Pharmacie de</w:t>
      </w:r>
      <w:r w:rsidRPr="000D3CAE">
        <w:rPr>
          <w:rFonts w:asciiTheme="majorHAnsi" w:eastAsia="Arial" w:hAnsiTheme="majorHAnsi" w:cs="Arial"/>
          <w:sz w:val="28"/>
          <w:szCs w:val="28"/>
        </w:rPr>
        <w:t xml:space="preserve"> </w:t>
      </w:r>
      <w:r w:rsidRPr="000D3CAE">
        <w:rPr>
          <w:rFonts w:asciiTheme="majorHAnsi" w:eastAsia="Arial" w:hAnsiTheme="majorHAnsi" w:cs="Arial"/>
          <w:b/>
          <w:sz w:val="28"/>
          <w:szCs w:val="28"/>
        </w:rPr>
        <w:t>Rabat</w:t>
      </w:r>
      <w:r w:rsidRPr="000D3CAE">
        <w:rPr>
          <w:rFonts w:asciiTheme="majorHAnsi" w:eastAsia="Arial" w:hAnsiTheme="majorHAnsi" w:cs="Arial"/>
          <w:sz w:val="28"/>
          <w:szCs w:val="28"/>
        </w:rPr>
        <w:t xml:space="preserve"> </w:t>
      </w:r>
    </w:p>
    <w:p w:rsidR="000D3CAE" w:rsidRPr="000D3CAE" w:rsidRDefault="000D3CAE" w:rsidP="000D3CAE">
      <w:pPr>
        <w:spacing w:after="14" w:line="249" w:lineRule="auto"/>
        <w:ind w:left="718" w:hanging="10"/>
        <w:rPr>
          <w:rFonts w:asciiTheme="majorHAnsi" w:hAnsiTheme="majorHAnsi"/>
          <w:sz w:val="28"/>
          <w:szCs w:val="28"/>
        </w:rPr>
      </w:pPr>
      <w:r w:rsidRPr="000D3CAE">
        <w:rPr>
          <w:rFonts w:asciiTheme="majorHAnsi" w:eastAsia="Arial" w:hAnsiTheme="majorHAnsi" w:cs="Arial"/>
          <w:sz w:val="28"/>
          <w:szCs w:val="28"/>
        </w:rPr>
        <w:t xml:space="preserve">(février 2012,  C. Mailhot) </w:t>
      </w:r>
    </w:p>
    <w:p w:rsidR="000D3CAE" w:rsidRPr="000D3CAE" w:rsidRDefault="000D3CAE" w:rsidP="000D3CAE">
      <w:pPr>
        <w:spacing w:after="0"/>
        <w:ind w:left="108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numPr>
          <w:ilvl w:val="0"/>
          <w:numId w:val="2"/>
        </w:numPr>
        <w:spacing w:after="5" w:line="250" w:lineRule="auto"/>
        <w:ind w:hanging="348"/>
        <w:rPr>
          <w:rFonts w:asciiTheme="majorHAnsi" w:hAnsiTheme="majorHAnsi"/>
          <w:sz w:val="28"/>
          <w:szCs w:val="28"/>
        </w:rPr>
      </w:pPr>
      <w:r w:rsidRPr="000D3CAE">
        <w:rPr>
          <w:rFonts w:asciiTheme="majorHAnsi" w:eastAsia="Arial" w:hAnsiTheme="majorHAnsi" w:cs="Arial"/>
          <w:b/>
          <w:sz w:val="28"/>
          <w:szCs w:val="28"/>
        </w:rPr>
        <w:t xml:space="preserve">UFR de pharmacie de Dijon  </w:t>
      </w:r>
    </w:p>
    <w:p w:rsidR="000D3CAE" w:rsidRPr="000D3CAE" w:rsidRDefault="000D3CAE" w:rsidP="000D3CAE">
      <w:pPr>
        <w:spacing w:after="14" w:line="249" w:lineRule="auto"/>
        <w:ind w:left="730" w:hanging="10"/>
        <w:rPr>
          <w:rFonts w:asciiTheme="majorHAnsi" w:hAnsiTheme="majorHAnsi"/>
          <w:sz w:val="28"/>
          <w:szCs w:val="28"/>
        </w:rPr>
      </w:pPr>
      <w:r w:rsidRPr="000D3CAE">
        <w:rPr>
          <w:rFonts w:asciiTheme="majorHAnsi" w:eastAsia="Arial" w:hAnsiTheme="majorHAnsi" w:cs="Arial"/>
          <w:sz w:val="28"/>
          <w:szCs w:val="28"/>
        </w:rPr>
        <w:t xml:space="preserve">(février 2012, C. Finance et C. Mailhot)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6"/>
        <w:ind w:left="72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4" w:line="249" w:lineRule="auto"/>
        <w:ind w:left="-5" w:right="1008" w:hanging="10"/>
        <w:rPr>
          <w:rFonts w:asciiTheme="majorHAnsi" w:hAnsiTheme="majorHAnsi"/>
          <w:sz w:val="28"/>
          <w:szCs w:val="28"/>
        </w:rPr>
      </w:pPr>
      <w:r w:rsidRPr="000D3CAE">
        <w:rPr>
          <w:rFonts w:asciiTheme="majorHAnsi" w:eastAsia="Arial" w:hAnsiTheme="majorHAnsi" w:cs="Arial"/>
          <w:b/>
          <w:sz w:val="28"/>
          <w:szCs w:val="28"/>
        </w:rPr>
        <w:t xml:space="preserve">Visites d’évaluation :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numPr>
          <w:ilvl w:val="0"/>
          <w:numId w:val="3"/>
        </w:numPr>
        <w:spacing w:after="5" w:line="250" w:lineRule="auto"/>
        <w:ind w:hanging="348"/>
        <w:rPr>
          <w:rFonts w:asciiTheme="majorHAnsi" w:hAnsiTheme="majorHAnsi"/>
          <w:sz w:val="28"/>
          <w:szCs w:val="28"/>
        </w:rPr>
      </w:pPr>
      <w:r w:rsidRPr="000D3CAE">
        <w:rPr>
          <w:rFonts w:asciiTheme="majorHAnsi" w:eastAsia="Arial" w:hAnsiTheme="majorHAnsi" w:cs="Arial"/>
          <w:b/>
          <w:sz w:val="28"/>
          <w:szCs w:val="28"/>
        </w:rPr>
        <w:t xml:space="preserve">UFR de Pharmacie de Tours </w:t>
      </w:r>
    </w:p>
    <w:p w:rsidR="000D3CAE" w:rsidRPr="000D3CAE" w:rsidRDefault="000D3CAE" w:rsidP="000D3CAE">
      <w:pPr>
        <w:spacing w:after="14" w:line="249" w:lineRule="auto"/>
        <w:ind w:left="730" w:hanging="10"/>
        <w:rPr>
          <w:rFonts w:asciiTheme="majorHAnsi" w:hAnsiTheme="majorHAnsi"/>
          <w:sz w:val="28"/>
          <w:szCs w:val="28"/>
        </w:rPr>
      </w:pPr>
      <w:r w:rsidRPr="000D3CAE">
        <w:rPr>
          <w:rFonts w:asciiTheme="majorHAnsi" w:eastAsia="Arial" w:hAnsiTheme="majorHAnsi" w:cs="Arial"/>
          <w:sz w:val="28"/>
          <w:szCs w:val="28"/>
        </w:rPr>
        <w:t xml:space="preserve">(6-9 Juin 2011) </w:t>
      </w:r>
    </w:p>
    <w:p w:rsidR="000D3CAE" w:rsidRPr="000D3CAE" w:rsidRDefault="000D3CAE" w:rsidP="000D3CAE">
      <w:pPr>
        <w:numPr>
          <w:ilvl w:val="3"/>
          <w:numId w:val="4"/>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Évaluateurs: Profs Rached Azaiez, Chantal Finance, Jean-Marie Gazengel et Claude Mailhot </w:t>
      </w:r>
    </w:p>
    <w:p w:rsidR="000D3CAE" w:rsidRPr="000D3CAE" w:rsidRDefault="000D3CAE" w:rsidP="000D3CAE">
      <w:pPr>
        <w:numPr>
          <w:ilvl w:val="3"/>
          <w:numId w:val="4"/>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Rencontres de l’équipe décanale, d’enseignants, d’étudiants, des responsables de programmes, des responsables administratifs, des responsables de stage, de représentants du conseil régional de l’Ordre, du vice-président chargé des moyens et des ressources humaines, de la vice-présidente du conseil des études et de la vie universitaire et du Président de l’Université François-Rabelais </w:t>
      </w:r>
    </w:p>
    <w:p w:rsidR="000D3CAE" w:rsidRPr="000D3CAE" w:rsidRDefault="000D3CAE" w:rsidP="000D3CAE">
      <w:pPr>
        <w:numPr>
          <w:ilvl w:val="3"/>
          <w:numId w:val="4"/>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Visite des locaux et de lieux de stage </w:t>
      </w:r>
    </w:p>
    <w:p w:rsidR="000D3CAE" w:rsidRPr="000D3CAE" w:rsidRDefault="000D3CAE" w:rsidP="000D3CAE">
      <w:pPr>
        <w:numPr>
          <w:ilvl w:val="3"/>
          <w:numId w:val="4"/>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Rapport préliminaire verbal présenté au doyen Alain Gueiffier et à son équipe ainsi qu’au Président de l’Université </w:t>
      </w:r>
    </w:p>
    <w:p w:rsidR="000D3CAE" w:rsidRPr="000D3CAE" w:rsidRDefault="000D3CAE" w:rsidP="000D3CAE">
      <w:pPr>
        <w:spacing w:after="0"/>
        <w:ind w:left="144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numPr>
          <w:ilvl w:val="0"/>
          <w:numId w:val="3"/>
        </w:numPr>
        <w:spacing w:after="5" w:line="250" w:lineRule="auto"/>
        <w:ind w:hanging="348"/>
        <w:rPr>
          <w:rFonts w:asciiTheme="majorHAnsi" w:hAnsiTheme="majorHAnsi"/>
          <w:sz w:val="28"/>
          <w:szCs w:val="28"/>
        </w:rPr>
      </w:pPr>
      <w:r w:rsidRPr="000D3CAE">
        <w:rPr>
          <w:rFonts w:asciiTheme="majorHAnsi" w:eastAsia="Arial" w:hAnsiTheme="majorHAnsi" w:cs="Arial"/>
          <w:b/>
          <w:sz w:val="28"/>
          <w:szCs w:val="28"/>
        </w:rPr>
        <w:t xml:space="preserve">Faculté de Pharmacie de l’Université Libanaise </w:t>
      </w:r>
    </w:p>
    <w:p w:rsidR="000D3CAE" w:rsidRPr="000D3CAE" w:rsidRDefault="000D3CAE" w:rsidP="000D3CAE">
      <w:pPr>
        <w:tabs>
          <w:tab w:val="center" w:pos="1784"/>
        </w:tabs>
        <w:spacing w:after="14" w:line="249" w:lineRule="auto"/>
        <w:rPr>
          <w:rFonts w:asciiTheme="majorHAnsi" w:hAnsiTheme="majorHAnsi"/>
          <w:sz w:val="28"/>
          <w:szCs w:val="28"/>
        </w:rPr>
      </w:pPr>
      <w:r w:rsidRPr="000D3CAE">
        <w:rPr>
          <w:rFonts w:asciiTheme="majorHAnsi" w:eastAsia="Arial" w:hAnsiTheme="majorHAnsi" w:cs="Arial"/>
          <w:sz w:val="28"/>
          <w:szCs w:val="28"/>
        </w:rPr>
        <w:t xml:space="preserve"> </w:t>
      </w:r>
      <w:r w:rsidRPr="000D3CAE">
        <w:rPr>
          <w:rFonts w:asciiTheme="majorHAnsi" w:eastAsia="Arial" w:hAnsiTheme="majorHAnsi" w:cs="Arial"/>
          <w:sz w:val="28"/>
          <w:szCs w:val="28"/>
        </w:rPr>
        <w:tab/>
        <w:t xml:space="preserve">(11-16 janvier 2012) </w:t>
      </w:r>
    </w:p>
    <w:p w:rsidR="000D3CAE" w:rsidRPr="000D3CAE" w:rsidRDefault="000D3CAE" w:rsidP="000D3CAE">
      <w:pPr>
        <w:numPr>
          <w:ilvl w:val="2"/>
          <w:numId w:val="5"/>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Évaluateurs: Profs Fawaz Fawaz, Jean-Pierre Grégoire, Alain Pineau et Claude Mailhot  </w:t>
      </w:r>
    </w:p>
    <w:p w:rsidR="000D3CAE" w:rsidRPr="000D3CAE" w:rsidRDefault="000D3CAE" w:rsidP="000D3CAE">
      <w:pPr>
        <w:numPr>
          <w:ilvl w:val="2"/>
          <w:numId w:val="5"/>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Rencontre de l’équipe décanale, d’enseignants, d’étudiants, des responsables de programmes, des responsables administratifs, des responsables de stage, du président du conseil de l’Ordre, de la responsable des relations internationales et du Recteur </w:t>
      </w:r>
      <w:r w:rsidRPr="000D3CAE">
        <w:rPr>
          <w:rFonts w:asciiTheme="majorHAnsi" w:eastAsia="Times New Roman" w:hAnsiTheme="majorHAnsi" w:cs="Times New Roman"/>
          <w:sz w:val="28"/>
          <w:szCs w:val="28"/>
        </w:rPr>
        <w:t>•</w:t>
      </w:r>
      <w:r w:rsidRPr="000D3CAE">
        <w:rPr>
          <w:rFonts w:asciiTheme="majorHAnsi" w:eastAsia="Arial" w:hAnsiTheme="majorHAnsi" w:cs="Arial"/>
          <w:sz w:val="28"/>
          <w:szCs w:val="28"/>
        </w:rPr>
        <w:t xml:space="preserve"> </w:t>
      </w:r>
      <w:r w:rsidRPr="000D3CAE">
        <w:rPr>
          <w:rFonts w:asciiTheme="majorHAnsi" w:eastAsia="Arial" w:hAnsiTheme="majorHAnsi" w:cs="Arial"/>
          <w:sz w:val="28"/>
          <w:szCs w:val="28"/>
        </w:rPr>
        <w:tab/>
        <w:t xml:space="preserve">Visite des locaux et de lieux de stage </w:t>
      </w:r>
    </w:p>
    <w:p w:rsidR="000D3CAE" w:rsidRPr="000D3CAE" w:rsidRDefault="000D3CAE" w:rsidP="000D3CAE">
      <w:pPr>
        <w:numPr>
          <w:ilvl w:val="2"/>
          <w:numId w:val="5"/>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Rapport préliminaire verbal présenté au doyen Marie Tueni et à son équipe ainsi qu’au Recteur de l’Université Libanaise </w:t>
      </w:r>
    </w:p>
    <w:p w:rsidR="000D3CAE" w:rsidRPr="000D3CAE" w:rsidRDefault="000D3CAE" w:rsidP="000D3CAE">
      <w:pPr>
        <w:spacing w:after="16"/>
        <w:rPr>
          <w:rFonts w:asciiTheme="majorHAnsi" w:hAnsiTheme="majorHAnsi"/>
          <w:sz w:val="28"/>
          <w:szCs w:val="28"/>
        </w:rPr>
      </w:pPr>
      <w:r w:rsidRPr="000D3CAE">
        <w:rPr>
          <w:rFonts w:asciiTheme="majorHAnsi" w:eastAsia="Arial" w:hAnsiTheme="majorHAnsi" w:cs="Arial"/>
          <w:b/>
          <w:sz w:val="28"/>
          <w:szCs w:val="28"/>
        </w:rPr>
        <w:t xml:space="preserve"> </w:t>
      </w:r>
    </w:p>
    <w:p w:rsidR="000D3CAE" w:rsidRPr="000D3CAE" w:rsidRDefault="000D3CAE" w:rsidP="000D3CAE">
      <w:pPr>
        <w:spacing w:after="0"/>
        <w:ind w:left="720"/>
        <w:rPr>
          <w:rFonts w:asciiTheme="majorHAnsi" w:hAnsiTheme="majorHAnsi"/>
          <w:sz w:val="28"/>
          <w:szCs w:val="28"/>
        </w:rPr>
      </w:pPr>
      <w:r w:rsidRPr="000D3CAE">
        <w:rPr>
          <w:rFonts w:asciiTheme="majorHAnsi" w:eastAsia="Arial" w:hAnsiTheme="majorHAnsi" w:cs="Arial"/>
          <w:b/>
          <w:sz w:val="28"/>
          <w:szCs w:val="28"/>
        </w:rPr>
        <w:t xml:space="preserve"> </w:t>
      </w:r>
    </w:p>
    <w:p w:rsidR="000D3CAE" w:rsidRPr="000D3CAE" w:rsidRDefault="000D3CAE" w:rsidP="000D3CAE">
      <w:pPr>
        <w:spacing w:after="14" w:line="249" w:lineRule="auto"/>
        <w:ind w:left="730" w:right="1008" w:hanging="10"/>
        <w:rPr>
          <w:rFonts w:asciiTheme="majorHAnsi" w:eastAsia="Arial" w:hAnsiTheme="majorHAnsi" w:cs="Arial"/>
          <w:b/>
          <w:sz w:val="28"/>
          <w:szCs w:val="28"/>
        </w:rPr>
      </w:pPr>
    </w:p>
    <w:p w:rsidR="000D3CAE" w:rsidRPr="000D3CAE" w:rsidRDefault="000D3CAE" w:rsidP="000D3CAE">
      <w:pPr>
        <w:spacing w:after="14" w:line="249" w:lineRule="auto"/>
        <w:ind w:left="730" w:right="1008" w:hanging="10"/>
        <w:rPr>
          <w:rFonts w:asciiTheme="majorHAnsi" w:eastAsia="Arial" w:hAnsiTheme="majorHAnsi" w:cs="Arial"/>
          <w:b/>
          <w:sz w:val="28"/>
          <w:szCs w:val="28"/>
        </w:rPr>
      </w:pPr>
    </w:p>
    <w:p w:rsidR="000D3CAE" w:rsidRPr="000D3CAE" w:rsidRDefault="000D3CAE" w:rsidP="000D3CAE">
      <w:pPr>
        <w:spacing w:after="14" w:line="249" w:lineRule="auto"/>
        <w:ind w:left="730" w:right="1008" w:hanging="10"/>
        <w:rPr>
          <w:rFonts w:asciiTheme="majorHAnsi" w:eastAsia="Arial" w:hAnsiTheme="majorHAnsi" w:cs="Arial"/>
          <w:b/>
          <w:sz w:val="28"/>
          <w:szCs w:val="28"/>
        </w:rPr>
      </w:pPr>
    </w:p>
    <w:p w:rsidR="000D3CAE" w:rsidRPr="000D3CAE" w:rsidRDefault="000D3CAE" w:rsidP="000D3CAE">
      <w:pPr>
        <w:spacing w:after="14" w:line="249" w:lineRule="auto"/>
        <w:ind w:left="730" w:right="1008" w:hanging="10"/>
        <w:rPr>
          <w:rFonts w:asciiTheme="majorHAnsi" w:hAnsiTheme="majorHAnsi"/>
          <w:sz w:val="28"/>
          <w:szCs w:val="28"/>
        </w:rPr>
      </w:pPr>
      <w:r w:rsidRPr="000D3CAE">
        <w:rPr>
          <w:rFonts w:asciiTheme="majorHAnsi" w:eastAsia="Arial" w:hAnsiTheme="majorHAnsi" w:cs="Arial"/>
          <w:b/>
          <w:sz w:val="28"/>
          <w:szCs w:val="28"/>
        </w:rPr>
        <w:t xml:space="preserve">Dépôt de rapports : </w:t>
      </w:r>
    </w:p>
    <w:p w:rsidR="000D3CAE" w:rsidRPr="000D3CAE" w:rsidRDefault="000D3CAE" w:rsidP="000D3CAE">
      <w:pPr>
        <w:spacing w:after="0"/>
        <w:ind w:left="72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numPr>
          <w:ilvl w:val="2"/>
          <w:numId w:val="5"/>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Rapport d’évaluation de l’UFR de Pharmacie de l’Université de Tours déposé auprès du Doyen et du Recteur en septembre 2011. </w:t>
      </w:r>
    </w:p>
    <w:p w:rsidR="000D3CAE" w:rsidRPr="000D3CAE" w:rsidRDefault="000D3CAE" w:rsidP="000D3CAE">
      <w:pPr>
        <w:numPr>
          <w:ilvl w:val="2"/>
          <w:numId w:val="5"/>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Rapport d’évaluation de la Faculté de pharmacie de l’Université Libanaise déposé auprès du Doyen en mars 2012. </w:t>
      </w:r>
    </w:p>
    <w:p w:rsidR="000D3CAE" w:rsidRPr="000D3CAE" w:rsidRDefault="000D3CAE" w:rsidP="000D3CAE">
      <w:pPr>
        <w:spacing w:after="0"/>
        <w:ind w:left="36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6"/>
        <w:ind w:left="36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14" w:line="249" w:lineRule="auto"/>
        <w:ind w:left="718" w:right="1008" w:hanging="10"/>
        <w:rPr>
          <w:rFonts w:asciiTheme="majorHAnsi" w:hAnsiTheme="majorHAnsi"/>
          <w:sz w:val="28"/>
          <w:szCs w:val="28"/>
        </w:rPr>
      </w:pPr>
      <w:r w:rsidRPr="000D3CAE">
        <w:rPr>
          <w:rFonts w:asciiTheme="majorHAnsi" w:eastAsia="Arial" w:hAnsiTheme="majorHAnsi" w:cs="Arial"/>
          <w:b/>
          <w:sz w:val="28"/>
          <w:szCs w:val="28"/>
        </w:rPr>
        <w:t xml:space="preserve">Planification des activités pour 2012-2013 : </w:t>
      </w:r>
    </w:p>
    <w:p w:rsidR="000D3CAE" w:rsidRPr="000D3CAE" w:rsidRDefault="000D3CAE" w:rsidP="000D3CAE">
      <w:pPr>
        <w:spacing w:after="0"/>
        <w:ind w:left="708"/>
        <w:rPr>
          <w:rFonts w:asciiTheme="majorHAnsi" w:hAnsiTheme="majorHAnsi"/>
          <w:sz w:val="28"/>
          <w:szCs w:val="28"/>
        </w:rPr>
      </w:pPr>
      <w:r w:rsidRPr="000D3CAE">
        <w:rPr>
          <w:rFonts w:asciiTheme="majorHAnsi" w:eastAsia="Arial" w:hAnsiTheme="majorHAnsi" w:cs="Arial"/>
          <w:b/>
          <w:sz w:val="28"/>
          <w:szCs w:val="28"/>
        </w:rPr>
        <w:t xml:space="preserve"> </w:t>
      </w:r>
    </w:p>
    <w:p w:rsidR="000D3CAE" w:rsidRPr="000D3CAE" w:rsidRDefault="000D3CAE" w:rsidP="000D3CAE">
      <w:pPr>
        <w:spacing w:after="14" w:line="249" w:lineRule="auto"/>
        <w:ind w:left="1068" w:right="4625" w:hanging="360"/>
        <w:rPr>
          <w:rFonts w:asciiTheme="majorHAnsi" w:hAnsiTheme="majorHAnsi"/>
          <w:sz w:val="28"/>
          <w:szCs w:val="28"/>
        </w:rPr>
      </w:pPr>
      <w:r w:rsidRPr="000D3CAE">
        <w:rPr>
          <w:rFonts w:asciiTheme="majorHAnsi" w:eastAsia="Arial" w:hAnsiTheme="majorHAnsi" w:cs="Arial"/>
          <w:sz w:val="28"/>
          <w:szCs w:val="28"/>
        </w:rPr>
        <w:t xml:space="preserve">1. Visites préparatoires </w:t>
      </w:r>
      <w:r w:rsidRPr="000D3CAE">
        <w:rPr>
          <w:rFonts w:asciiTheme="majorHAnsi" w:eastAsia="Arial" w:hAnsiTheme="majorHAnsi" w:cs="Arial"/>
          <w:b/>
          <w:sz w:val="28"/>
          <w:szCs w:val="28"/>
        </w:rPr>
        <w:t>2012</w:t>
      </w:r>
      <w:r w:rsidRPr="000D3CAE">
        <w:rPr>
          <w:rFonts w:asciiTheme="majorHAnsi" w:eastAsia="Arial" w:hAnsiTheme="majorHAnsi" w:cs="Arial"/>
          <w:sz w:val="28"/>
          <w:szCs w:val="28"/>
        </w:rPr>
        <w:t>:</w:t>
      </w:r>
      <w:r w:rsidRPr="000D3CAE">
        <w:rPr>
          <w:rFonts w:asciiTheme="majorHAnsi" w:eastAsia="Arial" w:hAnsiTheme="majorHAnsi" w:cs="Arial"/>
          <w:b/>
          <w:sz w:val="28"/>
          <w:szCs w:val="28"/>
        </w:rPr>
        <w:t xml:space="preserve"> </w:t>
      </w:r>
      <w:r w:rsidRPr="000D3CAE">
        <w:rPr>
          <w:rFonts w:asciiTheme="majorHAnsi" w:eastAsia="Segoe UI Symbol" w:hAnsiTheme="majorHAnsi" w:cs="Segoe UI Symbol"/>
          <w:sz w:val="28"/>
          <w:szCs w:val="28"/>
        </w:rPr>
        <w:t>•</w:t>
      </w:r>
      <w:r w:rsidRPr="000D3CAE">
        <w:rPr>
          <w:rFonts w:asciiTheme="majorHAnsi" w:eastAsia="Arial" w:hAnsiTheme="majorHAnsi" w:cs="Arial"/>
          <w:sz w:val="28"/>
          <w:szCs w:val="28"/>
        </w:rPr>
        <w:t xml:space="preserve"> Reims (à confirmer) </w:t>
      </w:r>
    </w:p>
    <w:p w:rsidR="000D3CAE" w:rsidRPr="000D3CAE" w:rsidRDefault="000D3CAE" w:rsidP="000D3CAE">
      <w:pPr>
        <w:spacing w:after="14" w:line="249" w:lineRule="auto"/>
        <w:ind w:left="1075" w:hanging="10"/>
        <w:rPr>
          <w:rFonts w:asciiTheme="majorHAnsi" w:hAnsiTheme="majorHAnsi"/>
          <w:sz w:val="28"/>
          <w:szCs w:val="28"/>
        </w:rPr>
      </w:pPr>
      <w:r w:rsidRPr="000D3CAE">
        <w:rPr>
          <w:rFonts w:asciiTheme="majorHAnsi" w:eastAsia="Segoe UI Symbol" w:hAnsiTheme="majorHAnsi" w:cs="Segoe UI Symbol"/>
          <w:sz w:val="28"/>
          <w:szCs w:val="28"/>
        </w:rPr>
        <w:t>•</w:t>
      </w:r>
      <w:r w:rsidRPr="000D3CAE">
        <w:rPr>
          <w:rFonts w:asciiTheme="majorHAnsi" w:eastAsia="Arial" w:hAnsiTheme="majorHAnsi" w:cs="Arial"/>
          <w:sz w:val="28"/>
          <w:szCs w:val="28"/>
        </w:rPr>
        <w:t xml:space="preserve"> Autres? </w:t>
      </w:r>
    </w:p>
    <w:p w:rsidR="000D3CAE" w:rsidRPr="000D3CAE" w:rsidRDefault="000D3CAE" w:rsidP="000D3CAE">
      <w:pPr>
        <w:spacing w:after="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tabs>
          <w:tab w:val="center" w:pos="2237"/>
        </w:tabs>
        <w:spacing w:after="14" w:line="249" w:lineRule="auto"/>
        <w:rPr>
          <w:rFonts w:asciiTheme="majorHAnsi" w:hAnsiTheme="majorHAnsi"/>
          <w:sz w:val="28"/>
          <w:szCs w:val="28"/>
        </w:rPr>
      </w:pPr>
      <w:r w:rsidRPr="000D3CAE">
        <w:rPr>
          <w:rFonts w:asciiTheme="majorHAnsi" w:eastAsia="Arial" w:hAnsiTheme="majorHAnsi" w:cs="Arial"/>
          <w:sz w:val="28"/>
          <w:szCs w:val="28"/>
        </w:rPr>
        <w:t xml:space="preserve"> </w:t>
      </w:r>
      <w:r w:rsidRPr="000D3CAE">
        <w:rPr>
          <w:rFonts w:asciiTheme="majorHAnsi" w:eastAsia="Arial" w:hAnsiTheme="majorHAnsi" w:cs="Arial"/>
          <w:sz w:val="28"/>
          <w:szCs w:val="28"/>
        </w:rPr>
        <w:tab/>
        <w:t xml:space="preserve">2. Visites d’évaluation </w:t>
      </w:r>
      <w:r w:rsidRPr="000D3CAE">
        <w:rPr>
          <w:rFonts w:asciiTheme="majorHAnsi" w:eastAsia="Arial" w:hAnsiTheme="majorHAnsi" w:cs="Arial"/>
          <w:b/>
          <w:sz w:val="28"/>
          <w:szCs w:val="28"/>
        </w:rPr>
        <w:t>2012</w:t>
      </w:r>
      <w:r w:rsidRPr="000D3CAE">
        <w:rPr>
          <w:rFonts w:asciiTheme="majorHAnsi" w:eastAsia="Arial" w:hAnsiTheme="majorHAnsi" w:cs="Arial"/>
          <w:sz w:val="28"/>
          <w:szCs w:val="28"/>
        </w:rPr>
        <w:t xml:space="preserve"> : </w:t>
      </w:r>
    </w:p>
    <w:p w:rsidR="000D3CAE" w:rsidRPr="000D3CAE" w:rsidRDefault="000D3CAE" w:rsidP="000D3CAE">
      <w:pPr>
        <w:numPr>
          <w:ilvl w:val="4"/>
          <w:numId w:val="6"/>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Faculté des sciences de la santé de Cotonou (dates à confirmer) </w:t>
      </w:r>
    </w:p>
    <w:p w:rsidR="000D3CAE" w:rsidRPr="000D3CAE" w:rsidRDefault="000D3CAE" w:rsidP="000D3CAE">
      <w:pPr>
        <w:numPr>
          <w:ilvl w:val="4"/>
          <w:numId w:val="6"/>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Faculté de pharmacie de Rabat (21-26 novembre 2012) </w:t>
      </w:r>
    </w:p>
    <w:p w:rsidR="000D3CAE" w:rsidRPr="000D3CAE" w:rsidRDefault="000D3CAE" w:rsidP="000D3CAE">
      <w:pPr>
        <w:spacing w:after="0"/>
        <w:ind w:left="1073"/>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spacing w:after="0"/>
        <w:ind w:left="360"/>
        <w:rPr>
          <w:rFonts w:asciiTheme="majorHAnsi" w:hAnsiTheme="majorHAnsi"/>
          <w:sz w:val="28"/>
          <w:szCs w:val="28"/>
        </w:rPr>
      </w:pPr>
      <w:r w:rsidRPr="000D3CAE">
        <w:rPr>
          <w:rFonts w:asciiTheme="majorHAnsi" w:eastAsia="Arial" w:hAnsiTheme="majorHAnsi" w:cs="Arial"/>
          <w:sz w:val="28"/>
          <w:szCs w:val="28"/>
        </w:rPr>
        <w:t xml:space="preserve"> </w:t>
      </w:r>
      <w:r w:rsidRPr="000D3CAE">
        <w:rPr>
          <w:rFonts w:asciiTheme="majorHAnsi" w:eastAsia="Arial" w:hAnsiTheme="majorHAnsi" w:cs="Arial"/>
          <w:sz w:val="28"/>
          <w:szCs w:val="28"/>
        </w:rPr>
        <w:tab/>
        <w:t xml:space="preserve"> </w:t>
      </w:r>
    </w:p>
    <w:p w:rsidR="000D3CAE" w:rsidRPr="000D3CAE" w:rsidRDefault="000D3CAE" w:rsidP="000D3CAE">
      <w:pPr>
        <w:numPr>
          <w:ilvl w:val="0"/>
          <w:numId w:val="3"/>
        </w:numPr>
        <w:spacing w:after="14" w:line="249" w:lineRule="auto"/>
        <w:ind w:hanging="348"/>
        <w:rPr>
          <w:rFonts w:asciiTheme="majorHAnsi" w:hAnsiTheme="majorHAnsi"/>
          <w:sz w:val="28"/>
          <w:szCs w:val="28"/>
        </w:rPr>
      </w:pPr>
      <w:r w:rsidRPr="000D3CAE">
        <w:rPr>
          <w:rFonts w:asciiTheme="majorHAnsi" w:eastAsia="Arial" w:hAnsiTheme="majorHAnsi" w:cs="Arial"/>
          <w:sz w:val="28"/>
          <w:szCs w:val="28"/>
        </w:rPr>
        <w:t xml:space="preserve">Visite de suivi 2012 : </w:t>
      </w:r>
    </w:p>
    <w:p w:rsidR="000D3CAE" w:rsidRPr="000D3CAE" w:rsidRDefault="000D3CAE" w:rsidP="000D3CAE">
      <w:pPr>
        <w:spacing w:after="14" w:line="249" w:lineRule="auto"/>
        <w:ind w:left="1425" w:hanging="360"/>
        <w:rPr>
          <w:rFonts w:asciiTheme="majorHAnsi" w:hAnsiTheme="majorHAnsi"/>
          <w:sz w:val="28"/>
          <w:szCs w:val="28"/>
        </w:rPr>
      </w:pPr>
      <w:r w:rsidRPr="000D3CAE">
        <w:rPr>
          <w:rFonts w:asciiTheme="majorHAnsi" w:eastAsia="Segoe UI Symbol" w:hAnsiTheme="majorHAnsi" w:cs="Segoe UI Symbol"/>
          <w:sz w:val="28"/>
          <w:szCs w:val="28"/>
        </w:rPr>
        <w:t>•</w:t>
      </w:r>
      <w:r w:rsidRPr="000D3CAE">
        <w:rPr>
          <w:rFonts w:asciiTheme="majorHAnsi" w:eastAsia="Arial" w:hAnsiTheme="majorHAnsi" w:cs="Arial"/>
          <w:sz w:val="28"/>
          <w:szCs w:val="28"/>
        </w:rPr>
        <w:t xml:space="preserve"> Faculté de pharmacie de Cluj (Roumanie); 31 mai et 1</w:t>
      </w:r>
      <w:r w:rsidRPr="000D3CAE">
        <w:rPr>
          <w:rFonts w:asciiTheme="majorHAnsi" w:eastAsia="Arial" w:hAnsiTheme="majorHAnsi" w:cs="Arial"/>
          <w:sz w:val="28"/>
          <w:szCs w:val="28"/>
          <w:vertAlign w:val="superscript"/>
        </w:rPr>
        <w:t>er</w:t>
      </w:r>
      <w:r w:rsidRPr="000D3CAE">
        <w:rPr>
          <w:rFonts w:asciiTheme="majorHAnsi" w:eastAsia="Arial" w:hAnsiTheme="majorHAnsi" w:cs="Arial"/>
          <w:sz w:val="28"/>
          <w:szCs w:val="28"/>
        </w:rPr>
        <w:t xml:space="preserve"> juin 2012 : Alain Pineau et Claude Mailhot. </w:t>
      </w:r>
    </w:p>
    <w:p w:rsidR="000D3CAE" w:rsidRPr="000D3CAE" w:rsidRDefault="000D3CAE" w:rsidP="000D3CAE">
      <w:pPr>
        <w:spacing w:after="0"/>
        <w:ind w:left="72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numPr>
          <w:ilvl w:val="0"/>
          <w:numId w:val="3"/>
        </w:numPr>
        <w:spacing w:after="14" w:line="249" w:lineRule="auto"/>
        <w:ind w:hanging="348"/>
        <w:rPr>
          <w:rFonts w:asciiTheme="majorHAnsi" w:hAnsiTheme="majorHAnsi"/>
          <w:sz w:val="28"/>
          <w:szCs w:val="28"/>
        </w:rPr>
      </w:pPr>
      <w:r w:rsidRPr="000D3CAE">
        <w:rPr>
          <w:rFonts w:asciiTheme="majorHAnsi" w:eastAsia="Arial" w:hAnsiTheme="majorHAnsi" w:cs="Arial"/>
          <w:sz w:val="28"/>
          <w:szCs w:val="28"/>
        </w:rPr>
        <w:t xml:space="preserve">Visites préparatoires </w:t>
      </w:r>
      <w:r w:rsidRPr="000D3CAE">
        <w:rPr>
          <w:rFonts w:asciiTheme="majorHAnsi" w:eastAsia="Arial" w:hAnsiTheme="majorHAnsi" w:cs="Arial"/>
          <w:b/>
          <w:sz w:val="28"/>
          <w:szCs w:val="28"/>
        </w:rPr>
        <w:t>2013-2014</w:t>
      </w:r>
      <w:r w:rsidRPr="000D3CAE">
        <w:rPr>
          <w:rFonts w:asciiTheme="majorHAnsi" w:eastAsia="Arial" w:hAnsiTheme="majorHAnsi" w:cs="Arial"/>
          <w:sz w:val="28"/>
          <w:szCs w:val="28"/>
        </w:rPr>
        <w:t xml:space="preserve"> : </w:t>
      </w:r>
    </w:p>
    <w:p w:rsidR="000D3CAE" w:rsidRPr="000D3CAE" w:rsidRDefault="000D3CAE" w:rsidP="000D3CAE">
      <w:pPr>
        <w:numPr>
          <w:ilvl w:val="3"/>
          <w:numId w:val="7"/>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Lyon (à confirmer) </w:t>
      </w:r>
    </w:p>
    <w:p w:rsidR="000D3CAE" w:rsidRPr="000D3CAE" w:rsidRDefault="000D3CAE" w:rsidP="000D3CAE">
      <w:pPr>
        <w:numPr>
          <w:ilvl w:val="3"/>
          <w:numId w:val="7"/>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Rennes (à confirmer) </w:t>
      </w:r>
    </w:p>
    <w:p w:rsidR="000D3CAE" w:rsidRPr="000D3CAE" w:rsidRDefault="000D3CAE" w:rsidP="000D3CAE">
      <w:pPr>
        <w:numPr>
          <w:ilvl w:val="3"/>
          <w:numId w:val="7"/>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Besançon (à confirmer) </w:t>
      </w:r>
    </w:p>
    <w:p w:rsidR="000D3CAE" w:rsidRPr="000D3CAE" w:rsidRDefault="000D3CAE" w:rsidP="000D3CAE">
      <w:pPr>
        <w:numPr>
          <w:ilvl w:val="3"/>
          <w:numId w:val="7"/>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Madagascar (à confirmer) </w:t>
      </w:r>
    </w:p>
    <w:p w:rsidR="000D3CAE" w:rsidRPr="000D3CAE" w:rsidRDefault="000D3CAE" w:rsidP="000D3CAE">
      <w:pPr>
        <w:numPr>
          <w:ilvl w:val="3"/>
          <w:numId w:val="7"/>
        </w:numPr>
        <w:spacing w:after="14" w:line="249" w:lineRule="auto"/>
        <w:ind w:hanging="360"/>
        <w:rPr>
          <w:rFonts w:asciiTheme="majorHAnsi" w:hAnsiTheme="majorHAnsi"/>
          <w:sz w:val="28"/>
          <w:szCs w:val="28"/>
        </w:rPr>
      </w:pPr>
      <w:r w:rsidRPr="000D3CAE">
        <w:rPr>
          <w:rFonts w:asciiTheme="majorHAnsi" w:eastAsia="Arial" w:hAnsiTheme="majorHAnsi" w:cs="Arial"/>
          <w:sz w:val="28"/>
          <w:szCs w:val="28"/>
        </w:rPr>
        <w:t xml:space="preserve">Les facultés suivantes avaient soumis une demande antérieurement; le maintien de leur intérêt doit être validé (Angers, </w:t>
      </w:r>
    </w:p>
    <w:p w:rsidR="000D3CAE" w:rsidRPr="000D3CAE" w:rsidRDefault="000D3CAE" w:rsidP="000D3CAE">
      <w:pPr>
        <w:spacing w:after="14" w:line="249" w:lineRule="auto"/>
        <w:ind w:left="1443" w:hanging="10"/>
        <w:rPr>
          <w:rFonts w:asciiTheme="majorHAnsi" w:hAnsiTheme="majorHAnsi"/>
          <w:sz w:val="28"/>
          <w:szCs w:val="28"/>
        </w:rPr>
      </w:pPr>
      <w:r w:rsidRPr="000D3CAE">
        <w:rPr>
          <w:rFonts w:asciiTheme="majorHAnsi" w:eastAsia="Arial" w:hAnsiTheme="majorHAnsi" w:cs="Arial"/>
          <w:sz w:val="28"/>
          <w:szCs w:val="28"/>
        </w:rPr>
        <w:t xml:space="preserve">Clermont-Ferrand, Rouen, Bordeaux, Toulouse, Marseille) </w:t>
      </w:r>
    </w:p>
    <w:p w:rsidR="000D3CAE" w:rsidRPr="000D3CAE" w:rsidRDefault="000D3CAE" w:rsidP="000D3CAE">
      <w:pPr>
        <w:spacing w:after="0"/>
        <w:ind w:left="1433"/>
        <w:rPr>
          <w:rFonts w:asciiTheme="majorHAnsi" w:hAnsiTheme="majorHAnsi"/>
          <w:sz w:val="28"/>
          <w:szCs w:val="28"/>
        </w:rPr>
      </w:pPr>
      <w:r w:rsidRPr="000D3CAE">
        <w:rPr>
          <w:rFonts w:asciiTheme="majorHAnsi" w:eastAsia="Arial" w:hAnsiTheme="majorHAnsi" w:cs="Arial"/>
          <w:sz w:val="28"/>
          <w:szCs w:val="28"/>
        </w:rPr>
        <w:t xml:space="preserve">  </w:t>
      </w:r>
    </w:p>
    <w:p w:rsidR="000D3CAE" w:rsidRPr="000D3CAE" w:rsidRDefault="000D3CAE" w:rsidP="000D3CAE">
      <w:pPr>
        <w:numPr>
          <w:ilvl w:val="0"/>
          <w:numId w:val="3"/>
        </w:numPr>
        <w:spacing w:after="14" w:line="249" w:lineRule="auto"/>
        <w:ind w:hanging="348"/>
        <w:rPr>
          <w:rFonts w:asciiTheme="majorHAnsi" w:hAnsiTheme="majorHAnsi"/>
          <w:sz w:val="28"/>
          <w:szCs w:val="28"/>
        </w:rPr>
      </w:pPr>
      <w:r w:rsidRPr="000D3CAE">
        <w:rPr>
          <w:rFonts w:asciiTheme="majorHAnsi" w:eastAsia="Arial" w:hAnsiTheme="majorHAnsi" w:cs="Arial"/>
          <w:sz w:val="28"/>
          <w:szCs w:val="28"/>
        </w:rPr>
        <w:t>Visite d’évaluation</w:t>
      </w:r>
      <w:r w:rsidRPr="000D3CAE">
        <w:rPr>
          <w:rFonts w:asciiTheme="majorHAnsi" w:eastAsia="Arial" w:hAnsiTheme="majorHAnsi" w:cs="Arial"/>
          <w:b/>
          <w:sz w:val="28"/>
          <w:szCs w:val="28"/>
        </w:rPr>
        <w:t xml:space="preserve"> 2013 </w:t>
      </w:r>
      <w:r w:rsidRPr="000D3CAE">
        <w:rPr>
          <w:rFonts w:asciiTheme="majorHAnsi" w:eastAsia="Arial" w:hAnsiTheme="majorHAnsi" w:cs="Arial"/>
          <w:sz w:val="28"/>
          <w:szCs w:val="28"/>
        </w:rPr>
        <w:t xml:space="preserve">: </w:t>
      </w:r>
    </w:p>
    <w:p w:rsidR="000D3CAE" w:rsidRPr="000D3CAE" w:rsidRDefault="000D3CAE" w:rsidP="000D3CAE">
      <w:pPr>
        <w:spacing w:after="14" w:line="249" w:lineRule="auto"/>
        <w:ind w:left="1075" w:hanging="10"/>
        <w:rPr>
          <w:rFonts w:asciiTheme="majorHAnsi" w:hAnsiTheme="majorHAnsi"/>
          <w:sz w:val="28"/>
          <w:szCs w:val="28"/>
        </w:rPr>
      </w:pPr>
      <w:r w:rsidRPr="000D3CAE">
        <w:rPr>
          <w:rFonts w:asciiTheme="majorHAnsi" w:eastAsia="Segoe UI Symbol" w:hAnsiTheme="majorHAnsi" w:cs="Segoe UI Symbol"/>
          <w:sz w:val="28"/>
          <w:szCs w:val="28"/>
        </w:rPr>
        <w:t>•</w:t>
      </w:r>
      <w:r w:rsidRPr="000D3CAE">
        <w:rPr>
          <w:rFonts w:asciiTheme="majorHAnsi" w:eastAsia="Arial" w:hAnsiTheme="majorHAnsi" w:cs="Arial"/>
          <w:sz w:val="28"/>
          <w:szCs w:val="28"/>
        </w:rPr>
        <w:t xml:space="preserve"> Dijon (20-25 Mars 2013) </w:t>
      </w:r>
    </w:p>
    <w:p w:rsidR="000D3CAE" w:rsidRPr="000D3CAE" w:rsidRDefault="000D3CAE" w:rsidP="000D3CAE">
      <w:pPr>
        <w:spacing w:after="0"/>
        <w:ind w:left="360"/>
        <w:rPr>
          <w:rFonts w:asciiTheme="majorHAnsi" w:hAnsiTheme="majorHAnsi"/>
          <w:sz w:val="28"/>
          <w:szCs w:val="28"/>
        </w:rPr>
      </w:pPr>
      <w:r w:rsidRPr="000D3CAE">
        <w:rPr>
          <w:rFonts w:asciiTheme="majorHAnsi" w:eastAsia="Arial" w:hAnsiTheme="majorHAnsi" w:cs="Arial"/>
          <w:sz w:val="28"/>
          <w:szCs w:val="28"/>
        </w:rPr>
        <w:t xml:space="preserve"> </w:t>
      </w:r>
    </w:p>
    <w:p w:rsidR="000D3CAE" w:rsidRPr="00C73D25" w:rsidRDefault="000D3CAE" w:rsidP="000D3CAE">
      <w:pPr>
        <w:spacing w:after="14" w:line="249" w:lineRule="auto"/>
        <w:ind w:left="-5" w:right="1008" w:hanging="10"/>
        <w:rPr>
          <w:rFonts w:ascii="Arial" w:eastAsia="Arial" w:hAnsi="Arial" w:cs="Arial"/>
          <w:b/>
          <w:sz w:val="28"/>
        </w:rPr>
      </w:pPr>
    </w:p>
    <w:p w:rsidR="008A2E15" w:rsidRDefault="00E60F30"/>
    <w:p w:rsidR="000D3CAE" w:rsidRDefault="000D3CAE"/>
    <w:p w:rsidR="000D3CAE" w:rsidRDefault="000D3CAE"/>
    <w:sectPr w:rsidR="000D3C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30" w:rsidRDefault="00E60F30" w:rsidP="000D3CAE">
      <w:pPr>
        <w:spacing w:after="0" w:line="240" w:lineRule="auto"/>
      </w:pPr>
      <w:r>
        <w:separator/>
      </w:r>
    </w:p>
  </w:endnote>
  <w:endnote w:type="continuationSeparator" w:id="0">
    <w:p w:rsidR="00E60F30" w:rsidRDefault="00E60F30" w:rsidP="000D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30" w:rsidRDefault="00E60F30" w:rsidP="000D3CAE">
      <w:pPr>
        <w:spacing w:after="0" w:line="240" w:lineRule="auto"/>
      </w:pPr>
      <w:r>
        <w:separator/>
      </w:r>
    </w:p>
  </w:footnote>
  <w:footnote w:type="continuationSeparator" w:id="0">
    <w:p w:rsidR="00E60F30" w:rsidRDefault="00E60F30" w:rsidP="000D3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rsidP="00D10E35">
    <w:pPr>
      <w:spacing w:after="14" w:line="244" w:lineRule="auto"/>
      <w:ind w:left="1416" w:right="1008"/>
      <w:rPr>
        <w:rFonts w:cs="Times New Roman"/>
        <w:color w:val="70AD76"/>
        <w:sz w:val="24"/>
        <w:szCs w:val="27"/>
        <w:shd w:val="clear" w:color="auto" w:fill="FFFFFF"/>
      </w:rPr>
    </w:pPr>
    <w:r>
      <w:rPr>
        <w:noProof/>
        <w:lang w:val="fr-FR" w:eastAsia="fr-FR"/>
      </w:rPr>
      <w:drawing>
        <wp:anchor distT="0" distB="0" distL="114300" distR="114300" simplePos="0" relativeHeight="251659264" behindDoc="0" locked="0" layoutInCell="1" allowOverlap="1">
          <wp:simplePos x="0" y="0"/>
          <wp:positionH relativeFrom="column">
            <wp:posOffset>-666750</wp:posOffset>
          </wp:positionH>
          <wp:positionV relativeFrom="paragraph">
            <wp:posOffset>-280670</wp:posOffset>
          </wp:positionV>
          <wp:extent cx="1423670" cy="645160"/>
          <wp:effectExtent l="0" t="0" r="508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64516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color w:val="70AD76"/>
        <w:sz w:val="24"/>
        <w:szCs w:val="27"/>
        <w:shd w:val="clear" w:color="auto" w:fill="FFFFFF"/>
      </w:rPr>
      <w:t xml:space="preserve">Conférence Internationale des Doyens </w:t>
    </w:r>
    <w:r>
      <w:rPr>
        <w:rFonts w:cs="Times New Roman"/>
        <w:color w:val="70AD76"/>
        <w:sz w:val="24"/>
        <w:szCs w:val="27"/>
        <w:shd w:val="clear" w:color="auto" w:fill="FFFFFF"/>
      </w:rPr>
      <w:br/>
      <w:t>des Facultés de Pharmacie d'Expression Française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A56"/>
    <w:multiLevelType w:val="hybridMultilevel"/>
    <w:tmpl w:val="68EC90E0"/>
    <w:lvl w:ilvl="0" w:tplc="4F8CFC72">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FC7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C5C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81F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2192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602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CD72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CF31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4CC50">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B06F18"/>
    <w:multiLevelType w:val="hybridMultilevel"/>
    <w:tmpl w:val="569E6E90"/>
    <w:lvl w:ilvl="0" w:tplc="23B07FC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A14C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2BEB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94A232">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EAE9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AE4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6DA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60C00">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AB26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B038C"/>
    <w:multiLevelType w:val="hybridMultilevel"/>
    <w:tmpl w:val="883E3654"/>
    <w:lvl w:ilvl="0" w:tplc="ADCABC3A">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443CE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762BB3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20A52AA">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426A91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DECF9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DBC3CC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F0E9A6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A20F0F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B27B1A"/>
    <w:multiLevelType w:val="hybridMultilevel"/>
    <w:tmpl w:val="BB2870C6"/>
    <w:lvl w:ilvl="0" w:tplc="D9DC513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6751C">
      <w:start w:val="1"/>
      <w:numFmt w:val="bullet"/>
      <w:lvlText w:val="o"/>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E9752">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A9FEA">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4AA44">
      <w:start w:val="1"/>
      <w:numFmt w:val="bullet"/>
      <w:lvlText w:val="o"/>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A890C">
      <w:start w:val="1"/>
      <w:numFmt w:val="bullet"/>
      <w:lvlText w:val="▪"/>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C2E14">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8FC28">
      <w:start w:val="1"/>
      <w:numFmt w:val="bullet"/>
      <w:lvlText w:val="o"/>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027D2">
      <w:start w:val="1"/>
      <w:numFmt w:val="bullet"/>
      <w:lvlText w:val="▪"/>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46036A"/>
    <w:multiLevelType w:val="hybridMultilevel"/>
    <w:tmpl w:val="467EB9A8"/>
    <w:lvl w:ilvl="0" w:tplc="11625E84">
      <w:start w:val="1"/>
      <w:numFmt w:val="decimal"/>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4AF5D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A2322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92A498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A8AA19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AA5DB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3BA671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C087FD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5703F7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56092B"/>
    <w:multiLevelType w:val="hybridMultilevel"/>
    <w:tmpl w:val="C916DCF8"/>
    <w:lvl w:ilvl="0" w:tplc="A43C0A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0D27C">
      <w:start w:val="1"/>
      <w:numFmt w:val="bullet"/>
      <w:lvlText w:val="o"/>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2044E">
      <w:start w:val="1"/>
      <w:numFmt w:val="bullet"/>
      <w:lvlText w:val="▪"/>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C6DC2">
      <w:start w:val="1"/>
      <w:numFmt w:val="bullet"/>
      <w:lvlText w:val="•"/>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89F74">
      <w:start w:val="1"/>
      <w:numFmt w:val="bullet"/>
      <w:lvlRestart w:val="0"/>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80F460">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4091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E6038">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A216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F57212"/>
    <w:multiLevelType w:val="hybridMultilevel"/>
    <w:tmpl w:val="E6F0419E"/>
    <w:lvl w:ilvl="0" w:tplc="D1BE24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87822">
      <w:start w:val="1"/>
      <w:numFmt w:val="bullet"/>
      <w:lvlText w:val="o"/>
      <w:lvlJc w:val="left"/>
      <w:pPr>
        <w:ind w:left="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DCA396">
      <w:start w:val="1"/>
      <w:numFmt w:val="bullet"/>
      <w:lvlText w:val="▪"/>
      <w:lvlJc w:val="left"/>
      <w:pPr>
        <w:ind w:left="1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B6D772">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8808A2">
      <w:start w:val="1"/>
      <w:numFmt w:val="bullet"/>
      <w:lvlText w:val="o"/>
      <w:lvlJc w:val="left"/>
      <w:pPr>
        <w:ind w:left="2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06E22A">
      <w:start w:val="1"/>
      <w:numFmt w:val="bullet"/>
      <w:lvlText w:val="▪"/>
      <w:lvlJc w:val="left"/>
      <w:pPr>
        <w:ind w:left="2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945E94">
      <w:start w:val="1"/>
      <w:numFmt w:val="bullet"/>
      <w:lvlText w:val="•"/>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0C93A">
      <w:start w:val="1"/>
      <w:numFmt w:val="bullet"/>
      <w:lvlText w:val="o"/>
      <w:lvlJc w:val="left"/>
      <w:pPr>
        <w:ind w:left="4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74BD76">
      <w:start w:val="1"/>
      <w:numFmt w:val="bullet"/>
      <w:lvlText w:val="▪"/>
      <w:lvlJc w:val="left"/>
      <w:pPr>
        <w:ind w:left="5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AE"/>
    <w:rsid w:val="000A648F"/>
    <w:rsid w:val="000C0E56"/>
    <w:rsid w:val="000D3CAE"/>
    <w:rsid w:val="0039105D"/>
    <w:rsid w:val="008E2BA8"/>
    <w:rsid w:val="00A5668F"/>
    <w:rsid w:val="00C22EA2"/>
    <w:rsid w:val="00CD0758"/>
    <w:rsid w:val="00D10E35"/>
    <w:rsid w:val="00E60F30"/>
    <w:rsid w:val="00F654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39C73-D292-46B4-8605-1CAAD76E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CAE"/>
    <w:pPr>
      <w:tabs>
        <w:tab w:val="center" w:pos="4320"/>
        <w:tab w:val="right" w:pos="8640"/>
      </w:tabs>
      <w:spacing w:after="0" w:line="240" w:lineRule="auto"/>
    </w:pPr>
  </w:style>
  <w:style w:type="character" w:customStyle="1" w:styleId="En-tteCar">
    <w:name w:val="En-tête Car"/>
    <w:basedOn w:val="Policepardfaut"/>
    <w:link w:val="En-tte"/>
    <w:uiPriority w:val="99"/>
    <w:rsid w:val="000D3CAE"/>
  </w:style>
  <w:style w:type="paragraph" w:styleId="Pieddepage">
    <w:name w:val="footer"/>
    <w:basedOn w:val="Normal"/>
    <w:link w:val="PieddepageCar"/>
    <w:uiPriority w:val="99"/>
    <w:unhideWhenUsed/>
    <w:rsid w:val="000D3C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 Guilmain Laurence</dc:creator>
  <cp:lastModifiedBy>Charpiot</cp:lastModifiedBy>
  <cp:revision>2</cp:revision>
  <dcterms:created xsi:type="dcterms:W3CDTF">2016-02-14T21:10:00Z</dcterms:created>
  <dcterms:modified xsi:type="dcterms:W3CDTF">2016-02-26T16:02:00Z</dcterms:modified>
</cp:coreProperties>
</file>