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52" w:rsidRDefault="00583352" w:rsidP="00583352">
      <w:pPr>
        <w:spacing w:after="14" w:line="249" w:lineRule="auto"/>
        <w:ind w:left="-5" w:right="1008" w:hanging="10"/>
        <w:rPr>
          <w:rFonts w:ascii="Arial" w:eastAsia="Arial" w:hAnsi="Arial" w:cs="Arial"/>
          <w:b/>
          <w:sz w:val="28"/>
        </w:rPr>
      </w:pPr>
      <w:r w:rsidRPr="00676E0F">
        <w:rPr>
          <w:rFonts w:ascii="Arial" w:eastAsia="Arial" w:hAnsi="Arial" w:cs="Arial"/>
          <w:b/>
          <w:color w:val="2E74B5" w:themeColor="accent1" w:themeShade="BF"/>
          <w:sz w:val="28"/>
        </w:rPr>
        <w:t>_________________________________________________</w:t>
      </w:r>
    </w:p>
    <w:p w:rsidR="00583352" w:rsidRDefault="00583352" w:rsidP="00583352">
      <w:pPr>
        <w:spacing w:after="14" w:line="249" w:lineRule="auto"/>
        <w:ind w:left="-5" w:right="1008" w:hanging="10"/>
        <w:jc w:val="center"/>
        <w:rPr>
          <w:rFonts w:ascii="Arial" w:eastAsia="Arial" w:hAnsi="Arial" w:cs="Arial"/>
          <w:b/>
          <w:sz w:val="28"/>
        </w:rPr>
      </w:pPr>
    </w:p>
    <w:p w:rsidR="00583352" w:rsidRDefault="00583352" w:rsidP="00583352">
      <w:pPr>
        <w:spacing w:after="14" w:line="249" w:lineRule="auto"/>
        <w:ind w:left="-5" w:right="1008" w:hanging="10"/>
        <w:rPr>
          <w:rFonts w:ascii="Arial" w:eastAsia="Arial" w:hAnsi="Arial" w:cs="Arial"/>
          <w:b/>
          <w:sz w:val="28"/>
        </w:rPr>
      </w:pPr>
      <w:r>
        <w:rPr>
          <w:rFonts w:ascii="Arial" w:eastAsia="Arial" w:hAnsi="Arial" w:cs="Arial"/>
          <w:b/>
          <w:sz w:val="28"/>
        </w:rPr>
        <w:t xml:space="preserve">       Bilan des activités de la Commission d’évaluation</w:t>
      </w:r>
    </w:p>
    <w:p w:rsidR="00583352" w:rsidRDefault="00583352" w:rsidP="00583352">
      <w:pPr>
        <w:spacing w:after="14" w:line="249" w:lineRule="auto"/>
        <w:ind w:left="-5" w:right="1008" w:hanging="10"/>
        <w:jc w:val="center"/>
        <w:rPr>
          <w:rFonts w:ascii="Arial" w:eastAsia="Comic Sans MS" w:hAnsi="Arial" w:cs="Arial"/>
          <w:sz w:val="24"/>
        </w:rPr>
      </w:pPr>
      <w:r w:rsidRPr="0082367D">
        <w:rPr>
          <w:rFonts w:ascii="Arial" w:eastAsia="Arial" w:hAnsi="Arial" w:cs="Arial"/>
          <w:sz w:val="24"/>
        </w:rPr>
        <w:t xml:space="preserve"> (</w:t>
      </w:r>
      <w:r>
        <w:rPr>
          <w:rFonts w:ascii="Arial" w:eastAsia="Arial" w:hAnsi="Arial" w:cs="Arial"/>
          <w:sz w:val="24"/>
        </w:rPr>
        <w:t>Avril 2014 à Avril 2015</w:t>
      </w:r>
      <w:r w:rsidRPr="0082367D">
        <w:rPr>
          <w:rFonts w:ascii="Arial" w:eastAsia="Comic Sans MS" w:hAnsi="Arial" w:cs="Arial"/>
          <w:sz w:val="24"/>
        </w:rPr>
        <w:t>)</w:t>
      </w:r>
    </w:p>
    <w:p w:rsidR="00583352" w:rsidRDefault="00583352" w:rsidP="00583352">
      <w:pPr>
        <w:spacing w:after="14" w:line="249" w:lineRule="auto"/>
        <w:ind w:left="-5" w:right="1008" w:hanging="10"/>
        <w:jc w:val="center"/>
        <w:rPr>
          <w:rFonts w:ascii="Arial" w:eastAsia="Comic Sans MS" w:hAnsi="Arial" w:cs="Arial"/>
          <w:sz w:val="24"/>
        </w:rPr>
      </w:pPr>
      <w:r>
        <w:rPr>
          <w:rFonts w:ascii="Arial" w:eastAsia="Comic Sans MS" w:hAnsi="Arial" w:cs="Arial"/>
          <w:sz w:val="24"/>
        </w:rPr>
        <w:t>(Cluj-Napoca)</w:t>
      </w:r>
    </w:p>
    <w:p w:rsidR="00583352" w:rsidRPr="00583352" w:rsidRDefault="00583352" w:rsidP="00583352">
      <w:pPr>
        <w:spacing w:after="14" w:line="249" w:lineRule="auto"/>
        <w:ind w:left="-5" w:right="1008" w:hanging="10"/>
        <w:jc w:val="center"/>
        <w:rPr>
          <w:rFonts w:asciiTheme="majorHAnsi" w:eastAsia="Comic Sans MS" w:hAnsiTheme="majorHAnsi" w:cs="Arial"/>
          <w:sz w:val="28"/>
          <w:szCs w:val="28"/>
        </w:rPr>
      </w:pPr>
    </w:p>
    <w:p w:rsidR="00583352" w:rsidRPr="00583352" w:rsidRDefault="00583352" w:rsidP="00583352">
      <w:pPr>
        <w:spacing w:after="14" w:line="249" w:lineRule="auto"/>
        <w:ind w:left="370" w:hanging="10"/>
        <w:rPr>
          <w:rFonts w:asciiTheme="majorHAnsi" w:hAnsiTheme="majorHAnsi"/>
          <w:sz w:val="28"/>
          <w:szCs w:val="28"/>
        </w:rPr>
      </w:pPr>
      <w:r w:rsidRPr="00583352">
        <w:rPr>
          <w:rFonts w:asciiTheme="majorHAnsi" w:eastAsia="Arial" w:hAnsiTheme="majorHAnsi" w:cs="Arial"/>
          <w:sz w:val="28"/>
          <w:szCs w:val="28"/>
        </w:rPr>
        <w:t xml:space="preserve">Les membres: </w:t>
      </w:r>
    </w:p>
    <w:p w:rsidR="00583352" w:rsidRPr="00583352" w:rsidRDefault="00583352" w:rsidP="00583352">
      <w:pPr>
        <w:numPr>
          <w:ilvl w:val="1"/>
          <w:numId w:val="1"/>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Rached Azaiez (Monastir) </w:t>
      </w:r>
    </w:p>
    <w:p w:rsidR="00583352" w:rsidRPr="00583352" w:rsidRDefault="00583352" w:rsidP="00583352">
      <w:pPr>
        <w:numPr>
          <w:ilvl w:val="1"/>
          <w:numId w:val="1"/>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André Bigot (Cotonou) </w:t>
      </w:r>
    </w:p>
    <w:p w:rsidR="00583352" w:rsidRPr="00583352" w:rsidRDefault="00583352" w:rsidP="00583352">
      <w:pPr>
        <w:numPr>
          <w:ilvl w:val="1"/>
          <w:numId w:val="1"/>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Fawaz Fawaz (Beyrouth) </w:t>
      </w:r>
    </w:p>
    <w:p w:rsidR="00583352" w:rsidRPr="00583352" w:rsidRDefault="00583352" w:rsidP="00583352">
      <w:pPr>
        <w:numPr>
          <w:ilvl w:val="1"/>
          <w:numId w:val="1"/>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Chantal Finance (Nancy) </w:t>
      </w:r>
    </w:p>
    <w:p w:rsidR="00583352" w:rsidRPr="00583352" w:rsidRDefault="00583352" w:rsidP="00583352">
      <w:pPr>
        <w:numPr>
          <w:ilvl w:val="1"/>
          <w:numId w:val="1"/>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Jean-Marie Gazengel (Caen) </w:t>
      </w:r>
    </w:p>
    <w:p w:rsidR="00583352" w:rsidRPr="00583352" w:rsidRDefault="00583352" w:rsidP="00583352">
      <w:pPr>
        <w:numPr>
          <w:ilvl w:val="1"/>
          <w:numId w:val="1"/>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Jean-Pierre Grégoire (Québec) </w:t>
      </w:r>
      <w:bookmarkStart w:id="0" w:name="_GoBack"/>
      <w:bookmarkEnd w:id="0"/>
    </w:p>
    <w:p w:rsidR="00583352" w:rsidRPr="00583352" w:rsidRDefault="00583352" w:rsidP="00583352">
      <w:pPr>
        <w:numPr>
          <w:ilvl w:val="1"/>
          <w:numId w:val="1"/>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Alain Gueiffier (Tours) </w:t>
      </w:r>
    </w:p>
    <w:p w:rsidR="00583352" w:rsidRPr="00583352" w:rsidRDefault="00583352" w:rsidP="00583352">
      <w:pPr>
        <w:numPr>
          <w:ilvl w:val="1"/>
          <w:numId w:val="1"/>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Gado Napo-Koura (Lomé) </w:t>
      </w:r>
    </w:p>
    <w:p w:rsidR="00583352" w:rsidRPr="00583352" w:rsidRDefault="00583352" w:rsidP="00583352">
      <w:pPr>
        <w:numPr>
          <w:ilvl w:val="1"/>
          <w:numId w:val="1"/>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Alain Pineau (Nantes) </w:t>
      </w:r>
    </w:p>
    <w:p w:rsidR="00583352" w:rsidRPr="00583352" w:rsidRDefault="00583352" w:rsidP="00583352">
      <w:pPr>
        <w:numPr>
          <w:ilvl w:val="1"/>
          <w:numId w:val="1"/>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Pascale Salameh (Beyrouth) </w:t>
      </w:r>
    </w:p>
    <w:p w:rsidR="00583352" w:rsidRPr="00583352" w:rsidRDefault="00583352" w:rsidP="00583352">
      <w:pPr>
        <w:numPr>
          <w:ilvl w:val="1"/>
          <w:numId w:val="1"/>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Mamadou Sawadogo (Ouagadougou) </w:t>
      </w:r>
    </w:p>
    <w:p w:rsidR="00583352" w:rsidRPr="00583352" w:rsidRDefault="00583352" w:rsidP="00583352">
      <w:pPr>
        <w:numPr>
          <w:ilvl w:val="1"/>
          <w:numId w:val="1"/>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Jean-Michel Scherrmann (Paris V) </w:t>
      </w:r>
    </w:p>
    <w:p w:rsidR="00583352" w:rsidRPr="00583352" w:rsidRDefault="00583352" w:rsidP="00583352">
      <w:pPr>
        <w:numPr>
          <w:ilvl w:val="1"/>
          <w:numId w:val="1"/>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François Seguin (Poitiers) </w:t>
      </w:r>
    </w:p>
    <w:p w:rsidR="00583352" w:rsidRPr="00583352" w:rsidRDefault="00583352" w:rsidP="00583352">
      <w:pPr>
        <w:numPr>
          <w:ilvl w:val="1"/>
          <w:numId w:val="1"/>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Jamal Taoufik (Rabat) </w:t>
      </w:r>
    </w:p>
    <w:p w:rsidR="00583352" w:rsidRPr="00583352" w:rsidRDefault="00583352" w:rsidP="00583352">
      <w:pPr>
        <w:numPr>
          <w:ilvl w:val="1"/>
          <w:numId w:val="1"/>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Christine Vinciguerra (Lyon)  </w:t>
      </w:r>
    </w:p>
    <w:p w:rsidR="00583352" w:rsidRPr="00583352" w:rsidRDefault="00583352" w:rsidP="00583352">
      <w:pPr>
        <w:numPr>
          <w:ilvl w:val="1"/>
          <w:numId w:val="1"/>
        </w:numPr>
        <w:spacing w:after="58"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Macha Woronoff-Lemsi (Besançon) </w:t>
      </w:r>
    </w:p>
    <w:p w:rsidR="00583352" w:rsidRPr="00583352" w:rsidRDefault="00583352" w:rsidP="00583352">
      <w:pPr>
        <w:numPr>
          <w:ilvl w:val="1"/>
          <w:numId w:val="1"/>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Bernard Yvonnet (Tours) </w:t>
      </w:r>
      <w:r w:rsidRPr="00583352">
        <w:rPr>
          <w:rFonts w:asciiTheme="majorHAnsi" w:eastAsia="Wingdings" w:hAnsiTheme="majorHAnsi" w:cs="Wingdings"/>
          <w:sz w:val="28"/>
          <w:szCs w:val="28"/>
        </w:rPr>
        <w:t></w:t>
      </w:r>
      <w:r w:rsidRPr="00583352">
        <w:rPr>
          <w:rFonts w:asciiTheme="majorHAnsi" w:eastAsia="Arial" w:hAnsiTheme="majorHAnsi" w:cs="Arial"/>
          <w:sz w:val="28"/>
          <w:szCs w:val="28"/>
        </w:rPr>
        <w:t xml:space="preserve">  </w:t>
      </w:r>
    </w:p>
    <w:p w:rsidR="00583352" w:rsidRPr="00583352" w:rsidRDefault="00583352" w:rsidP="00583352">
      <w:pPr>
        <w:numPr>
          <w:ilvl w:val="1"/>
          <w:numId w:val="1"/>
        </w:numPr>
        <w:spacing w:after="14" w:line="249" w:lineRule="auto"/>
        <w:ind w:hanging="360"/>
        <w:rPr>
          <w:rFonts w:asciiTheme="majorHAnsi" w:hAnsiTheme="majorHAnsi"/>
          <w:sz w:val="28"/>
          <w:szCs w:val="28"/>
        </w:rPr>
      </w:pPr>
      <w:r w:rsidRPr="00583352">
        <w:rPr>
          <w:rFonts w:asciiTheme="majorHAnsi" w:hAnsiTheme="majorHAnsi"/>
          <w:noProof/>
          <w:sz w:val="28"/>
          <w:szCs w:val="28"/>
          <w:lang w:val="fr-FR" w:eastAsia="fr-FR"/>
        </w:rPr>
        <mc:AlternateContent>
          <mc:Choice Requires="wpg">
            <w:drawing>
              <wp:anchor distT="0" distB="0" distL="114300" distR="114300" simplePos="0" relativeHeight="251659264" behindDoc="0" locked="0" layoutInCell="1" allowOverlap="1" wp14:anchorId="05FA957A" wp14:editId="79452B8E">
                <wp:simplePos x="0" y="0"/>
                <wp:positionH relativeFrom="column">
                  <wp:posOffset>667691</wp:posOffset>
                </wp:positionH>
                <wp:positionV relativeFrom="paragraph">
                  <wp:posOffset>187096</wp:posOffset>
                </wp:positionV>
                <wp:extent cx="4837176" cy="18288"/>
                <wp:effectExtent l="0" t="0" r="0" b="0"/>
                <wp:wrapNone/>
                <wp:docPr id="18312" name="Group 18312"/>
                <wp:cNvGraphicFramePr/>
                <a:graphic xmlns:a="http://schemas.openxmlformats.org/drawingml/2006/main">
                  <a:graphicData uri="http://schemas.microsoft.com/office/word/2010/wordprocessingGroup">
                    <wpg:wgp>
                      <wpg:cNvGrpSpPr/>
                      <wpg:grpSpPr>
                        <a:xfrm>
                          <a:off x="0" y="0"/>
                          <a:ext cx="4837176" cy="18288"/>
                          <a:chOff x="0" y="0"/>
                          <a:chExt cx="4837176" cy="18288"/>
                        </a:xfrm>
                      </wpg:grpSpPr>
                      <wps:wsp>
                        <wps:cNvPr id="19954" name="Shape 19954"/>
                        <wps:cNvSpPr/>
                        <wps:spPr>
                          <a:xfrm>
                            <a:off x="0" y="0"/>
                            <a:ext cx="4837176" cy="18288"/>
                          </a:xfrm>
                          <a:custGeom>
                            <a:avLst/>
                            <a:gdLst/>
                            <a:ahLst/>
                            <a:cxnLst/>
                            <a:rect l="0" t="0" r="0" b="0"/>
                            <a:pathLst>
                              <a:path w="4837176" h="18288">
                                <a:moveTo>
                                  <a:pt x="0" y="0"/>
                                </a:moveTo>
                                <a:lnTo>
                                  <a:pt x="4837176" y="0"/>
                                </a:lnTo>
                                <a:lnTo>
                                  <a:pt x="4837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74F53B" id="Group 18312" o:spid="_x0000_s1026" style="position:absolute;margin-left:52.55pt;margin-top:14.75pt;width:380.9pt;height:1.45pt;z-index:251659264" coordsize="4837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E7egIAAF8GAAAOAAAAZHJzL2Uyb0RvYy54bWykVc1u2zAMvg/YOwi+L7bTrnWNJD2sWy7D&#10;VqzdAyiyZBuQJUFS4uTtR9G2YqRbB7Q52DT1kSI//mR1f+wkOXDrWq3WSb7IEsIV01Wr6nXy+/nb&#10;pyIhzlNVUakVXycn7pL7zccPq96UfKkbLStuCThRruzNOmm8N2WaOtbwjrqFNlzBodC2ox4+bZ1W&#10;lvbgvZPpMstu0l7byljNuHOgfRgOkw36F4Iz/1MIxz2R6wRi8/i0+NyFZ7pZ0bK21DQtG8Ogb4ii&#10;o62CS6OrB+op2dv2hauuZVY7LfyC6S7VQrSMYw6QTZ5dZLO1em8wl7rsaxNpAmoveHqzW/bj8GhJ&#10;W0Htiqt8mRBFOygT3kwGFVDUm7oE5NaaJ/NoR0U9fIWsj8J24Q35kCOSe4rk8qMnDJTXxdVtfnuT&#10;EAZnebEsioF81kCFXlix5uurdul0aRpii6H0BtrInZly72PqqaGGYwFcyH9i6u7u8/XEFEJIjiok&#10;BpGRJlc6YOx9HMVcacn2zm+5RrLp4bvzQ/9Wk0SbSWJHNYkWpuDV/jfUB7sQZRBJP6tWMxUrnHb6&#10;wJ814vxFySDI86lUc1Ss/NQUgJ0Q09ugvzkytsg/0TDP81b6Dw5nPWJACKluVqOA6YM8J1iqwATc&#10;wihsJiGpxxHvWg8rS7YdMLO8zbKzY/AWGnCoOEr+JHmgS6pfXMCY4XAEhbP17ou05EDDYsIfOqfS&#10;NHTUhvmAkEYoyugn2ItWyugyR9O/uRw8jOBgx3EnRstssGRjNMNihPUCSU/rESKIRnizVj7aK1jq&#10;GOYs2yDudHXCRYGEwEQiNbjFMI9x44Y1Of9G1Pl/YfMHAAD//wMAUEsDBBQABgAIAAAAIQBFEwwt&#10;4AAAAAkBAAAPAAAAZHJzL2Rvd25yZXYueG1sTI9Ba4NAEIXvhf6HZQK9NaumSmJcQwhtT6HQpFB6&#10;m+hEJe6uuBs1/77TU3N8zMd732SbSbdioN411igI5wEIMoUtG1Mp+Dq+PS9BOI+mxNYaUnAjB5v8&#10;8SHDtLSj+aTh4CvBJcalqKD2vkuldEVNGt3cdmT4dra9Rs+xr2TZ48jlupVRECRSY2N4ocaOdjUV&#10;l8NVK3gfcdwuwtdhfznvbj/H+ON7H5JST7NpuwbhafL/MPzpszrk7HSyV1M60XIO4pBRBdEqBsHA&#10;MklWIE4KFtELyDyT9x/kvwAAAP//AwBQSwECLQAUAAYACAAAACEAtoM4kv4AAADhAQAAEwAAAAAA&#10;AAAAAAAAAAAAAAAAW0NvbnRlbnRfVHlwZXNdLnhtbFBLAQItABQABgAIAAAAIQA4/SH/1gAAAJQB&#10;AAALAAAAAAAAAAAAAAAAAC8BAABfcmVscy8ucmVsc1BLAQItABQABgAIAAAAIQCNKFE7egIAAF8G&#10;AAAOAAAAAAAAAAAAAAAAAC4CAABkcnMvZTJvRG9jLnhtbFBLAQItABQABgAIAAAAIQBFEwwt4AAA&#10;AAkBAAAPAAAAAAAAAAAAAAAAANQEAABkcnMvZG93bnJldi54bWxQSwUGAAAAAAQABADzAAAA4QUA&#10;AAAA&#10;">
                <v:shape id="Shape 19954" o:spid="_x0000_s1027" style="position:absolute;width:48371;height:182;visibility:visible;mso-wrap-style:square;v-text-anchor:top" coordsize="4837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S8QA&#10;AADeAAAADwAAAGRycy9kb3ducmV2LnhtbERPTWvCQBC9F/wPywi91U3TKCZ1DRIbWvCkLfQ6ZMck&#10;NDsbsqtJ/31XEHqbx/ucTT6ZTlxpcK1lBc+LCARxZXXLtYKvz/JpDcJ5ZI2dZVLwSw7y7exhg5m2&#10;Ix/pevK1CCHsMlTQeN9nUrqqIYNuYXviwJ3tYNAHONRSDziGcNPJOIpW0mDLoaHBnoqGqp/TxSjg&#10;t31Sur44rJfpy3fxHp+7ci+VepxPu1cQnib/L767P3SYn6bLBG7vhBv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50vEAAAA3gAAAA8AAAAAAAAAAAAAAAAAmAIAAGRycy9k&#10;b3ducmV2LnhtbFBLBQYAAAAABAAEAPUAAACJAwAAAAA=&#10;" path="m,l4837176,r,18288l,18288,,e" fillcolor="black" stroked="f" strokeweight="0">
                  <v:stroke miterlimit="83231f" joinstyle="miter"/>
                  <v:path arrowok="t" textboxrect="0,0,4837176,18288"/>
                </v:shape>
              </v:group>
            </w:pict>
          </mc:Fallback>
        </mc:AlternateContent>
      </w:r>
      <w:r w:rsidRPr="00583352">
        <w:rPr>
          <w:rFonts w:asciiTheme="majorHAnsi" w:eastAsia="Arial" w:hAnsiTheme="majorHAnsi" w:cs="Arial"/>
          <w:sz w:val="28"/>
          <w:szCs w:val="28"/>
        </w:rPr>
        <w:t xml:space="preserve">Claude Mailhot, présidente </w:t>
      </w:r>
    </w:p>
    <w:p w:rsidR="00583352" w:rsidRPr="00583352" w:rsidRDefault="00583352" w:rsidP="00583352">
      <w:pPr>
        <w:spacing w:after="0"/>
        <w:ind w:left="360"/>
        <w:rPr>
          <w:rFonts w:asciiTheme="majorHAnsi" w:hAnsiTheme="majorHAnsi"/>
          <w:sz w:val="28"/>
          <w:szCs w:val="28"/>
        </w:rPr>
      </w:pPr>
      <w:r w:rsidRPr="00583352">
        <w:rPr>
          <w:rFonts w:asciiTheme="majorHAnsi" w:eastAsia="Arial" w:hAnsiTheme="majorHAnsi" w:cs="Arial"/>
          <w:sz w:val="28"/>
          <w:szCs w:val="28"/>
        </w:rPr>
        <w:t xml:space="preserve"> </w:t>
      </w:r>
    </w:p>
    <w:p w:rsidR="00583352" w:rsidRPr="00583352" w:rsidRDefault="00583352" w:rsidP="00583352">
      <w:pPr>
        <w:spacing w:after="16"/>
        <w:rPr>
          <w:rFonts w:asciiTheme="majorHAnsi" w:hAnsiTheme="majorHAnsi"/>
          <w:sz w:val="28"/>
          <w:szCs w:val="28"/>
        </w:rPr>
      </w:pPr>
      <w:r w:rsidRPr="00583352">
        <w:rPr>
          <w:rFonts w:asciiTheme="majorHAnsi" w:eastAsia="Arial" w:hAnsiTheme="majorHAnsi" w:cs="Arial"/>
          <w:sz w:val="28"/>
          <w:szCs w:val="28"/>
        </w:rPr>
        <w:t xml:space="preserve"> </w:t>
      </w:r>
    </w:p>
    <w:p w:rsidR="00583352" w:rsidRPr="00583352" w:rsidRDefault="00583352" w:rsidP="00583352">
      <w:pPr>
        <w:spacing w:after="14" w:line="249" w:lineRule="auto"/>
        <w:ind w:left="-5" w:right="1008" w:hanging="10"/>
        <w:rPr>
          <w:rFonts w:asciiTheme="majorHAnsi" w:hAnsiTheme="majorHAnsi"/>
          <w:sz w:val="28"/>
          <w:szCs w:val="28"/>
        </w:rPr>
      </w:pPr>
      <w:r w:rsidRPr="00583352">
        <w:rPr>
          <w:rFonts w:asciiTheme="majorHAnsi" w:eastAsia="Arial" w:hAnsiTheme="majorHAnsi" w:cs="Arial"/>
          <w:b/>
          <w:sz w:val="28"/>
          <w:szCs w:val="28"/>
        </w:rPr>
        <w:t xml:space="preserve">Développement et mise à jour de documents : </w:t>
      </w:r>
    </w:p>
    <w:p w:rsidR="00583352" w:rsidRPr="00583352" w:rsidRDefault="00583352" w:rsidP="00583352">
      <w:pPr>
        <w:spacing w:after="0"/>
        <w:ind w:right="418"/>
        <w:jc w:val="center"/>
        <w:rPr>
          <w:rFonts w:asciiTheme="majorHAnsi" w:hAnsiTheme="majorHAnsi"/>
          <w:sz w:val="28"/>
          <w:szCs w:val="28"/>
        </w:rPr>
      </w:pPr>
      <w:r w:rsidRPr="00583352">
        <w:rPr>
          <w:rFonts w:asciiTheme="majorHAnsi" w:eastAsia="Arial" w:hAnsiTheme="majorHAnsi" w:cs="Arial"/>
          <w:sz w:val="28"/>
          <w:szCs w:val="28"/>
        </w:rPr>
        <w:t xml:space="preserve">1. Canevas destiné à l’autoanalyse : outil développé par l’ISPB </w:t>
      </w:r>
    </w:p>
    <w:p w:rsidR="00583352" w:rsidRPr="00583352" w:rsidRDefault="00583352" w:rsidP="00583352">
      <w:pPr>
        <w:spacing w:after="16"/>
        <w:rPr>
          <w:rFonts w:asciiTheme="majorHAnsi" w:hAnsiTheme="majorHAnsi"/>
          <w:sz w:val="28"/>
          <w:szCs w:val="28"/>
        </w:rPr>
      </w:pPr>
      <w:r w:rsidRPr="00583352">
        <w:rPr>
          <w:rFonts w:asciiTheme="majorHAnsi" w:eastAsia="Arial" w:hAnsiTheme="majorHAnsi" w:cs="Arial"/>
          <w:sz w:val="28"/>
          <w:szCs w:val="28"/>
        </w:rPr>
        <w:t xml:space="preserve"> </w:t>
      </w:r>
    </w:p>
    <w:p w:rsidR="00583352" w:rsidRPr="00583352" w:rsidRDefault="00583352" w:rsidP="00583352">
      <w:pPr>
        <w:spacing w:after="14" w:line="249" w:lineRule="auto"/>
        <w:ind w:left="-5" w:right="1008" w:hanging="10"/>
        <w:rPr>
          <w:rFonts w:asciiTheme="majorHAnsi" w:hAnsiTheme="majorHAnsi"/>
          <w:sz w:val="28"/>
          <w:szCs w:val="28"/>
        </w:rPr>
      </w:pPr>
      <w:r w:rsidRPr="00583352">
        <w:rPr>
          <w:rFonts w:asciiTheme="majorHAnsi" w:eastAsia="Arial" w:hAnsiTheme="majorHAnsi" w:cs="Arial"/>
          <w:b/>
          <w:sz w:val="28"/>
          <w:szCs w:val="28"/>
        </w:rPr>
        <w:t xml:space="preserve">Visites préparatoires : </w:t>
      </w:r>
    </w:p>
    <w:p w:rsidR="00583352" w:rsidRPr="00583352" w:rsidRDefault="00583352" w:rsidP="00583352">
      <w:pPr>
        <w:spacing w:after="0"/>
        <w:rPr>
          <w:rFonts w:asciiTheme="majorHAnsi" w:hAnsiTheme="majorHAnsi"/>
          <w:sz w:val="28"/>
          <w:szCs w:val="28"/>
        </w:rPr>
      </w:pPr>
      <w:r w:rsidRPr="00583352">
        <w:rPr>
          <w:rFonts w:asciiTheme="majorHAnsi" w:eastAsia="Arial" w:hAnsiTheme="majorHAnsi" w:cs="Arial"/>
          <w:sz w:val="28"/>
          <w:szCs w:val="28"/>
        </w:rPr>
        <w:t xml:space="preserve"> </w:t>
      </w:r>
    </w:p>
    <w:p w:rsidR="00583352" w:rsidRPr="00583352" w:rsidRDefault="00583352" w:rsidP="00583352">
      <w:pPr>
        <w:spacing w:after="5" w:line="250" w:lineRule="auto"/>
        <w:ind w:left="10" w:hanging="10"/>
        <w:rPr>
          <w:rFonts w:asciiTheme="majorHAnsi" w:hAnsiTheme="majorHAnsi"/>
          <w:sz w:val="28"/>
          <w:szCs w:val="28"/>
        </w:rPr>
      </w:pPr>
      <w:r w:rsidRPr="00583352">
        <w:rPr>
          <w:rFonts w:asciiTheme="majorHAnsi" w:eastAsia="Arial" w:hAnsiTheme="majorHAnsi" w:cs="Arial"/>
          <w:b/>
          <w:sz w:val="28"/>
          <w:szCs w:val="28"/>
        </w:rPr>
        <w:t xml:space="preserve">Objectif: </w:t>
      </w:r>
    </w:p>
    <w:p w:rsidR="00583352" w:rsidRPr="00583352" w:rsidRDefault="00583352" w:rsidP="00583352">
      <w:pPr>
        <w:spacing w:after="14" w:line="249" w:lineRule="auto"/>
        <w:ind w:left="10" w:hanging="10"/>
        <w:rPr>
          <w:rFonts w:asciiTheme="majorHAnsi" w:hAnsiTheme="majorHAnsi"/>
          <w:sz w:val="28"/>
          <w:szCs w:val="28"/>
        </w:rPr>
      </w:pPr>
      <w:r w:rsidRPr="00583352">
        <w:rPr>
          <w:rFonts w:asciiTheme="majorHAnsi" w:eastAsia="Arial" w:hAnsiTheme="majorHAnsi" w:cs="Arial"/>
          <w:sz w:val="28"/>
          <w:szCs w:val="28"/>
        </w:rPr>
        <w:t xml:space="preserve">Expliquer buts et étapes de la démarche d’évaluation et plus spécifiquement expliquer la démarche d’auto-analyse </w:t>
      </w:r>
    </w:p>
    <w:p w:rsidR="00583352" w:rsidRPr="00583352" w:rsidRDefault="00583352" w:rsidP="00583352">
      <w:pPr>
        <w:spacing w:after="0"/>
        <w:rPr>
          <w:rFonts w:asciiTheme="majorHAnsi" w:hAnsiTheme="majorHAnsi"/>
          <w:sz w:val="28"/>
          <w:szCs w:val="28"/>
        </w:rPr>
      </w:pPr>
      <w:r w:rsidRPr="00583352">
        <w:rPr>
          <w:rFonts w:asciiTheme="majorHAnsi" w:eastAsia="Arial" w:hAnsiTheme="majorHAnsi" w:cs="Arial"/>
          <w:sz w:val="28"/>
          <w:szCs w:val="28"/>
        </w:rPr>
        <w:lastRenderedPageBreak/>
        <w:t xml:space="preserve"> </w:t>
      </w:r>
    </w:p>
    <w:p w:rsidR="00583352" w:rsidRPr="00583352" w:rsidRDefault="00583352" w:rsidP="00583352">
      <w:pPr>
        <w:numPr>
          <w:ilvl w:val="0"/>
          <w:numId w:val="2"/>
        </w:numPr>
        <w:spacing w:after="5" w:line="250" w:lineRule="auto"/>
        <w:ind w:hanging="360"/>
        <w:rPr>
          <w:rFonts w:asciiTheme="majorHAnsi" w:hAnsiTheme="majorHAnsi"/>
          <w:sz w:val="28"/>
          <w:szCs w:val="28"/>
        </w:rPr>
      </w:pPr>
      <w:r w:rsidRPr="00583352">
        <w:rPr>
          <w:rFonts w:asciiTheme="majorHAnsi" w:eastAsia="Arial" w:hAnsiTheme="majorHAnsi" w:cs="Arial"/>
          <w:b/>
          <w:sz w:val="28"/>
          <w:szCs w:val="28"/>
        </w:rPr>
        <w:t xml:space="preserve">Faculté de pharmacie de Conakry </w:t>
      </w:r>
    </w:p>
    <w:p w:rsidR="00583352" w:rsidRPr="00583352" w:rsidRDefault="00583352" w:rsidP="00583352">
      <w:pPr>
        <w:spacing w:after="14" w:line="249" w:lineRule="auto"/>
        <w:ind w:left="1426" w:hanging="10"/>
        <w:rPr>
          <w:rFonts w:asciiTheme="majorHAnsi" w:hAnsiTheme="majorHAnsi"/>
          <w:sz w:val="28"/>
          <w:szCs w:val="28"/>
        </w:rPr>
      </w:pPr>
      <w:r w:rsidRPr="00583352">
        <w:rPr>
          <w:rFonts w:asciiTheme="majorHAnsi" w:eastAsia="Arial" w:hAnsiTheme="majorHAnsi" w:cs="Arial"/>
          <w:b/>
          <w:sz w:val="28"/>
          <w:szCs w:val="28"/>
        </w:rPr>
        <w:t xml:space="preserve"> </w:t>
      </w:r>
      <w:r w:rsidRPr="00583352">
        <w:rPr>
          <w:rFonts w:asciiTheme="majorHAnsi" w:eastAsia="Arial" w:hAnsiTheme="majorHAnsi" w:cs="Arial"/>
          <w:sz w:val="28"/>
          <w:szCs w:val="28"/>
        </w:rPr>
        <w:t>(F. Fawaz, Reportée)</w:t>
      </w:r>
      <w:r w:rsidRPr="00583352">
        <w:rPr>
          <w:rFonts w:asciiTheme="majorHAnsi" w:eastAsia="Arial" w:hAnsiTheme="majorHAnsi" w:cs="Arial"/>
          <w:b/>
          <w:sz w:val="28"/>
          <w:szCs w:val="28"/>
        </w:rPr>
        <w:t xml:space="preserve"> </w:t>
      </w:r>
    </w:p>
    <w:p w:rsidR="00583352" w:rsidRPr="00583352" w:rsidRDefault="00583352" w:rsidP="00583352">
      <w:pPr>
        <w:numPr>
          <w:ilvl w:val="0"/>
          <w:numId w:val="2"/>
        </w:numPr>
        <w:spacing w:after="5" w:line="250" w:lineRule="auto"/>
        <w:ind w:hanging="360"/>
        <w:rPr>
          <w:rFonts w:asciiTheme="majorHAnsi" w:hAnsiTheme="majorHAnsi"/>
          <w:sz w:val="28"/>
          <w:szCs w:val="28"/>
        </w:rPr>
      </w:pPr>
      <w:r w:rsidRPr="00583352">
        <w:rPr>
          <w:rFonts w:asciiTheme="majorHAnsi" w:eastAsia="Arial" w:hAnsiTheme="majorHAnsi" w:cs="Arial"/>
          <w:b/>
          <w:sz w:val="28"/>
          <w:szCs w:val="28"/>
        </w:rPr>
        <w:t xml:space="preserve">UFR de pharmacie de Grenoble  </w:t>
      </w:r>
    </w:p>
    <w:p w:rsidR="00583352" w:rsidRPr="00583352" w:rsidRDefault="00583352" w:rsidP="00583352">
      <w:pPr>
        <w:spacing w:after="14" w:line="249" w:lineRule="auto"/>
        <w:ind w:left="1426" w:hanging="10"/>
        <w:rPr>
          <w:rFonts w:asciiTheme="majorHAnsi" w:hAnsiTheme="majorHAnsi"/>
          <w:sz w:val="28"/>
          <w:szCs w:val="28"/>
        </w:rPr>
      </w:pPr>
      <w:r w:rsidRPr="00583352">
        <w:rPr>
          <w:rFonts w:asciiTheme="majorHAnsi" w:eastAsia="Arial" w:hAnsiTheme="majorHAnsi" w:cs="Arial"/>
          <w:sz w:val="28"/>
          <w:szCs w:val="28"/>
        </w:rPr>
        <w:t xml:space="preserve">(JP Grégoire, à venir juin 2015) </w:t>
      </w:r>
    </w:p>
    <w:p w:rsidR="00583352" w:rsidRPr="00583352" w:rsidRDefault="00583352" w:rsidP="00583352">
      <w:pPr>
        <w:spacing w:after="0"/>
        <w:ind w:left="720"/>
        <w:rPr>
          <w:rFonts w:asciiTheme="majorHAnsi" w:hAnsiTheme="majorHAnsi"/>
          <w:sz w:val="28"/>
          <w:szCs w:val="28"/>
        </w:rPr>
      </w:pPr>
    </w:p>
    <w:p w:rsidR="00583352" w:rsidRPr="00583352" w:rsidRDefault="00583352" w:rsidP="00583352">
      <w:pPr>
        <w:spacing w:after="16"/>
        <w:ind w:left="720"/>
        <w:rPr>
          <w:rFonts w:asciiTheme="majorHAnsi" w:hAnsiTheme="majorHAnsi"/>
          <w:sz w:val="28"/>
          <w:szCs w:val="28"/>
        </w:rPr>
      </w:pPr>
      <w:r w:rsidRPr="00583352">
        <w:rPr>
          <w:rFonts w:asciiTheme="majorHAnsi" w:eastAsia="Arial" w:hAnsiTheme="majorHAnsi" w:cs="Arial"/>
          <w:sz w:val="28"/>
          <w:szCs w:val="28"/>
        </w:rPr>
        <w:t xml:space="preserve"> </w:t>
      </w:r>
    </w:p>
    <w:p w:rsidR="00583352" w:rsidRPr="00583352" w:rsidRDefault="00583352" w:rsidP="00583352">
      <w:pPr>
        <w:spacing w:after="14" w:line="249" w:lineRule="auto"/>
        <w:ind w:left="-5" w:right="1008" w:hanging="10"/>
        <w:rPr>
          <w:rFonts w:asciiTheme="majorHAnsi" w:hAnsiTheme="majorHAnsi"/>
          <w:sz w:val="28"/>
          <w:szCs w:val="28"/>
        </w:rPr>
      </w:pPr>
      <w:r w:rsidRPr="00583352">
        <w:rPr>
          <w:rFonts w:asciiTheme="majorHAnsi" w:eastAsia="Arial" w:hAnsiTheme="majorHAnsi" w:cs="Arial"/>
          <w:b/>
          <w:sz w:val="28"/>
          <w:szCs w:val="28"/>
        </w:rPr>
        <w:t xml:space="preserve">Visites d’évaluation : </w:t>
      </w:r>
    </w:p>
    <w:p w:rsidR="00583352" w:rsidRPr="00583352" w:rsidRDefault="00583352" w:rsidP="00583352">
      <w:pPr>
        <w:spacing w:after="0"/>
        <w:rPr>
          <w:rFonts w:asciiTheme="majorHAnsi" w:hAnsiTheme="majorHAnsi"/>
          <w:sz w:val="28"/>
          <w:szCs w:val="28"/>
        </w:rPr>
      </w:pPr>
      <w:r w:rsidRPr="00583352">
        <w:rPr>
          <w:rFonts w:asciiTheme="majorHAnsi" w:eastAsia="Arial" w:hAnsiTheme="majorHAnsi" w:cs="Arial"/>
          <w:sz w:val="28"/>
          <w:szCs w:val="28"/>
        </w:rPr>
        <w:t xml:space="preserve"> </w:t>
      </w:r>
    </w:p>
    <w:p w:rsidR="00583352" w:rsidRPr="00583352" w:rsidRDefault="00583352" w:rsidP="00583352">
      <w:pPr>
        <w:spacing w:after="14" w:line="249" w:lineRule="auto"/>
        <w:ind w:left="730" w:hanging="10"/>
        <w:rPr>
          <w:rFonts w:asciiTheme="majorHAnsi" w:hAnsiTheme="majorHAnsi"/>
          <w:sz w:val="28"/>
          <w:szCs w:val="28"/>
        </w:rPr>
      </w:pPr>
      <w:r w:rsidRPr="00583352">
        <w:rPr>
          <w:rFonts w:asciiTheme="majorHAnsi" w:eastAsia="Arial" w:hAnsiTheme="majorHAnsi" w:cs="Arial"/>
          <w:b/>
          <w:sz w:val="28"/>
          <w:szCs w:val="28"/>
        </w:rPr>
        <w:t xml:space="preserve">ISPB de Lyon </w:t>
      </w:r>
      <w:r w:rsidRPr="00583352">
        <w:rPr>
          <w:rFonts w:asciiTheme="majorHAnsi" w:eastAsia="Arial" w:hAnsiTheme="majorHAnsi" w:cs="Arial"/>
          <w:sz w:val="28"/>
          <w:szCs w:val="28"/>
        </w:rPr>
        <w:t xml:space="preserve"> (2-6 juin 2014) </w:t>
      </w:r>
    </w:p>
    <w:p w:rsidR="00583352" w:rsidRPr="00583352" w:rsidRDefault="00583352" w:rsidP="00583352">
      <w:pPr>
        <w:numPr>
          <w:ilvl w:val="1"/>
          <w:numId w:val="2"/>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Évaluateurs: C. Mailhot (présidente), F. Fawaz, A. Gueiffier, A Pineau </w:t>
      </w:r>
    </w:p>
    <w:p w:rsidR="00583352" w:rsidRPr="00583352" w:rsidRDefault="00583352" w:rsidP="00583352">
      <w:pPr>
        <w:numPr>
          <w:ilvl w:val="1"/>
          <w:numId w:val="2"/>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Rencontres de l’équipe décanale, d’enseignants, d’étudiants, des membres de la commission pédagogique, des responsables administratifs, de maîtres de stage, de représentants de l’Ordre des pharmaciens, de représentants du Conseil, du Vice-président du CEVU et du président de l’Université  </w:t>
      </w:r>
    </w:p>
    <w:p w:rsidR="00583352" w:rsidRPr="00583352" w:rsidRDefault="00583352" w:rsidP="00583352">
      <w:pPr>
        <w:numPr>
          <w:ilvl w:val="1"/>
          <w:numId w:val="2"/>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Visite des locaux et de lieux de stage </w:t>
      </w:r>
    </w:p>
    <w:p w:rsidR="00583352" w:rsidRPr="00583352" w:rsidRDefault="00583352" w:rsidP="00583352">
      <w:pPr>
        <w:numPr>
          <w:ilvl w:val="1"/>
          <w:numId w:val="2"/>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Rapport préliminaire verbal présenté au doyen Vinciguerra et à son équipe ainsi qu’au président de l’Université et au vice-président du CEVU.  </w:t>
      </w:r>
    </w:p>
    <w:p w:rsidR="00583352" w:rsidRPr="00583352" w:rsidRDefault="00583352" w:rsidP="00583352">
      <w:pPr>
        <w:spacing w:after="0"/>
        <w:ind w:left="1440"/>
        <w:rPr>
          <w:rFonts w:asciiTheme="majorHAnsi" w:hAnsiTheme="majorHAnsi"/>
          <w:sz w:val="28"/>
          <w:szCs w:val="28"/>
        </w:rPr>
      </w:pPr>
      <w:r w:rsidRPr="00583352">
        <w:rPr>
          <w:rFonts w:asciiTheme="majorHAnsi" w:eastAsia="Arial" w:hAnsiTheme="majorHAnsi" w:cs="Arial"/>
          <w:sz w:val="28"/>
          <w:szCs w:val="28"/>
        </w:rPr>
        <w:t xml:space="preserve"> </w:t>
      </w:r>
    </w:p>
    <w:p w:rsidR="00583352" w:rsidRPr="00583352" w:rsidRDefault="00583352" w:rsidP="00583352">
      <w:pPr>
        <w:spacing w:after="5" w:line="250" w:lineRule="auto"/>
        <w:ind w:left="730" w:hanging="10"/>
        <w:rPr>
          <w:rFonts w:asciiTheme="majorHAnsi" w:hAnsiTheme="majorHAnsi"/>
          <w:sz w:val="28"/>
          <w:szCs w:val="28"/>
        </w:rPr>
      </w:pPr>
      <w:r w:rsidRPr="00583352">
        <w:rPr>
          <w:rFonts w:asciiTheme="majorHAnsi" w:eastAsia="Arial" w:hAnsiTheme="majorHAnsi" w:cs="Arial"/>
          <w:b/>
          <w:sz w:val="28"/>
          <w:szCs w:val="28"/>
        </w:rPr>
        <w:t xml:space="preserve">Section Pharmacie de l’UFR Sciences Médicales et pharmaceutiques </w:t>
      </w:r>
    </w:p>
    <w:p w:rsidR="00583352" w:rsidRPr="00583352" w:rsidRDefault="00583352" w:rsidP="00583352">
      <w:pPr>
        <w:spacing w:after="5" w:line="250" w:lineRule="auto"/>
        <w:ind w:left="730" w:hanging="10"/>
        <w:rPr>
          <w:rFonts w:asciiTheme="majorHAnsi" w:hAnsiTheme="majorHAnsi"/>
          <w:sz w:val="28"/>
          <w:szCs w:val="28"/>
        </w:rPr>
      </w:pPr>
      <w:r w:rsidRPr="00583352">
        <w:rPr>
          <w:rFonts w:asciiTheme="majorHAnsi" w:eastAsia="Arial" w:hAnsiTheme="majorHAnsi" w:cs="Arial"/>
          <w:b/>
          <w:sz w:val="28"/>
          <w:szCs w:val="28"/>
        </w:rPr>
        <w:t>Université de Franche-Comté (Besançon)</w:t>
      </w:r>
      <w:r w:rsidRPr="00583352">
        <w:rPr>
          <w:rFonts w:asciiTheme="majorHAnsi" w:eastAsia="Arial" w:hAnsiTheme="majorHAnsi" w:cs="Arial"/>
          <w:sz w:val="28"/>
          <w:szCs w:val="28"/>
        </w:rPr>
        <w:t xml:space="preserve"> (1-6 février 2015) </w:t>
      </w:r>
    </w:p>
    <w:p w:rsidR="00583352" w:rsidRPr="00583352" w:rsidRDefault="00583352" w:rsidP="00583352">
      <w:pPr>
        <w:numPr>
          <w:ilvl w:val="1"/>
          <w:numId w:val="2"/>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Évaluateurs : J-P Grégoire (président), C. Vinciguerra, A. Pineau, J. Taoufik </w:t>
      </w:r>
    </w:p>
    <w:p w:rsidR="00583352" w:rsidRPr="00583352" w:rsidRDefault="00583352" w:rsidP="00583352">
      <w:pPr>
        <w:numPr>
          <w:ilvl w:val="1"/>
          <w:numId w:val="2"/>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Rencontres de l’équipe décanale, d’enseignants, d’étudiants, des membres de la commission pédagogique, des responsables administratifs, de maîtres de stage, d ‘un représentant du Conseil régional de l’Ordre des pharmaciens, d’anciens étudiants récemment diplômés, du Vice-président du CEVU et du président de l’Université </w:t>
      </w:r>
    </w:p>
    <w:p w:rsidR="00583352" w:rsidRPr="00583352" w:rsidRDefault="00583352" w:rsidP="00583352">
      <w:pPr>
        <w:numPr>
          <w:ilvl w:val="1"/>
          <w:numId w:val="2"/>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Visite des locaux et de lieux de stage </w:t>
      </w:r>
    </w:p>
    <w:p w:rsidR="00583352" w:rsidRPr="00583352" w:rsidRDefault="00583352" w:rsidP="00583352">
      <w:pPr>
        <w:numPr>
          <w:ilvl w:val="1"/>
          <w:numId w:val="2"/>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Rapport préliminaire verbal présenté à la doyenne WoronoffLemsi et à son équipe ainsi qu’au vice-président du CEVU de l’Université. </w:t>
      </w:r>
    </w:p>
    <w:p w:rsidR="00583352" w:rsidRPr="00583352" w:rsidRDefault="00583352" w:rsidP="00583352">
      <w:pPr>
        <w:spacing w:after="7" w:line="234" w:lineRule="auto"/>
        <w:ind w:right="6781"/>
        <w:rPr>
          <w:rFonts w:asciiTheme="majorHAnsi" w:hAnsiTheme="majorHAnsi"/>
          <w:sz w:val="28"/>
          <w:szCs w:val="28"/>
        </w:rPr>
      </w:pPr>
      <w:r w:rsidRPr="00583352">
        <w:rPr>
          <w:rFonts w:asciiTheme="majorHAnsi" w:eastAsia="Arial" w:hAnsiTheme="majorHAnsi" w:cs="Arial"/>
          <w:sz w:val="28"/>
          <w:szCs w:val="28"/>
        </w:rPr>
        <w:t xml:space="preserve"> </w:t>
      </w:r>
      <w:r w:rsidRPr="00583352">
        <w:rPr>
          <w:rFonts w:asciiTheme="majorHAnsi" w:eastAsia="Arial" w:hAnsiTheme="majorHAnsi" w:cs="Arial"/>
          <w:b/>
          <w:sz w:val="28"/>
          <w:szCs w:val="28"/>
        </w:rPr>
        <w:t xml:space="preserve"> </w:t>
      </w:r>
    </w:p>
    <w:p w:rsidR="00583352" w:rsidRPr="00583352" w:rsidRDefault="00583352" w:rsidP="00583352">
      <w:pPr>
        <w:spacing w:after="14" w:line="249" w:lineRule="auto"/>
        <w:ind w:left="-5" w:right="1008" w:hanging="10"/>
        <w:rPr>
          <w:rFonts w:asciiTheme="majorHAnsi" w:hAnsiTheme="majorHAnsi"/>
          <w:sz w:val="28"/>
          <w:szCs w:val="28"/>
        </w:rPr>
      </w:pPr>
      <w:r w:rsidRPr="00583352">
        <w:rPr>
          <w:rFonts w:asciiTheme="majorHAnsi" w:eastAsia="Arial" w:hAnsiTheme="majorHAnsi" w:cs="Arial"/>
          <w:b/>
          <w:sz w:val="28"/>
          <w:szCs w:val="28"/>
        </w:rPr>
        <w:t xml:space="preserve">Dépôt de rapports : </w:t>
      </w:r>
    </w:p>
    <w:p w:rsidR="00583352" w:rsidRPr="00583352" w:rsidRDefault="00583352" w:rsidP="00583352">
      <w:pPr>
        <w:spacing w:after="0"/>
        <w:ind w:left="720"/>
        <w:rPr>
          <w:rFonts w:asciiTheme="majorHAnsi" w:hAnsiTheme="majorHAnsi"/>
          <w:sz w:val="28"/>
          <w:szCs w:val="28"/>
        </w:rPr>
      </w:pPr>
      <w:r w:rsidRPr="00583352">
        <w:rPr>
          <w:rFonts w:asciiTheme="majorHAnsi" w:eastAsia="Arial" w:hAnsiTheme="majorHAnsi" w:cs="Arial"/>
          <w:sz w:val="28"/>
          <w:szCs w:val="28"/>
        </w:rPr>
        <w:t xml:space="preserve"> </w:t>
      </w:r>
    </w:p>
    <w:p w:rsidR="00583352" w:rsidRPr="00583352" w:rsidRDefault="00583352" w:rsidP="00583352">
      <w:pPr>
        <w:numPr>
          <w:ilvl w:val="1"/>
          <w:numId w:val="2"/>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Rapport final d’évaluation de l’ISPB de l’Université Claude Bernard de </w:t>
      </w:r>
    </w:p>
    <w:p w:rsidR="00583352" w:rsidRPr="00583352" w:rsidRDefault="00583352" w:rsidP="00583352">
      <w:pPr>
        <w:spacing w:after="14" w:line="249" w:lineRule="auto"/>
        <w:ind w:left="730" w:hanging="10"/>
        <w:rPr>
          <w:rFonts w:asciiTheme="majorHAnsi" w:hAnsiTheme="majorHAnsi"/>
          <w:sz w:val="28"/>
          <w:szCs w:val="28"/>
        </w:rPr>
      </w:pPr>
      <w:r w:rsidRPr="00583352">
        <w:rPr>
          <w:rFonts w:asciiTheme="majorHAnsi" w:eastAsia="Arial" w:hAnsiTheme="majorHAnsi" w:cs="Arial"/>
          <w:sz w:val="28"/>
          <w:szCs w:val="28"/>
        </w:rPr>
        <w:t xml:space="preserve">Lyon déposé au Doyen et au Recteur, octobre 2014  </w:t>
      </w:r>
    </w:p>
    <w:p w:rsidR="00583352" w:rsidRPr="00583352" w:rsidRDefault="00583352" w:rsidP="00583352">
      <w:pPr>
        <w:spacing w:after="0"/>
        <w:ind w:left="720"/>
        <w:rPr>
          <w:rFonts w:asciiTheme="majorHAnsi" w:hAnsiTheme="majorHAnsi"/>
          <w:sz w:val="28"/>
          <w:szCs w:val="28"/>
        </w:rPr>
      </w:pPr>
      <w:r w:rsidRPr="00583352">
        <w:rPr>
          <w:rFonts w:asciiTheme="majorHAnsi" w:eastAsia="Arial" w:hAnsiTheme="majorHAnsi" w:cs="Arial"/>
          <w:sz w:val="28"/>
          <w:szCs w:val="28"/>
        </w:rPr>
        <w:t xml:space="preserve"> </w:t>
      </w:r>
    </w:p>
    <w:p w:rsidR="00583352" w:rsidRPr="00583352" w:rsidRDefault="00583352" w:rsidP="00583352">
      <w:pPr>
        <w:numPr>
          <w:ilvl w:val="1"/>
          <w:numId w:val="2"/>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Rapport final d’évaluation de la Section pharmacie de l’UFR Sciences Médicales et pharmaceutiques de Besançon en cours de finalisation. </w:t>
      </w:r>
    </w:p>
    <w:p w:rsidR="00583352" w:rsidRPr="00583352" w:rsidRDefault="00583352" w:rsidP="00583352">
      <w:pPr>
        <w:spacing w:after="16"/>
        <w:ind w:left="360"/>
        <w:rPr>
          <w:rFonts w:asciiTheme="majorHAnsi" w:hAnsiTheme="majorHAnsi"/>
          <w:sz w:val="28"/>
          <w:szCs w:val="28"/>
        </w:rPr>
      </w:pPr>
      <w:r w:rsidRPr="00583352">
        <w:rPr>
          <w:rFonts w:asciiTheme="majorHAnsi" w:eastAsia="Arial" w:hAnsiTheme="majorHAnsi" w:cs="Arial"/>
          <w:sz w:val="28"/>
          <w:szCs w:val="28"/>
        </w:rPr>
        <w:t xml:space="preserve"> </w:t>
      </w:r>
    </w:p>
    <w:p w:rsidR="00583352" w:rsidRPr="00583352" w:rsidRDefault="00583352" w:rsidP="00583352">
      <w:pPr>
        <w:spacing w:after="14" w:line="249" w:lineRule="auto"/>
        <w:ind w:left="718" w:right="1008" w:hanging="10"/>
        <w:rPr>
          <w:rFonts w:asciiTheme="majorHAnsi" w:hAnsiTheme="majorHAnsi"/>
          <w:sz w:val="28"/>
          <w:szCs w:val="28"/>
        </w:rPr>
      </w:pPr>
      <w:r w:rsidRPr="00583352">
        <w:rPr>
          <w:rFonts w:asciiTheme="majorHAnsi" w:eastAsia="Arial" w:hAnsiTheme="majorHAnsi" w:cs="Arial"/>
          <w:b/>
          <w:sz w:val="28"/>
          <w:szCs w:val="28"/>
        </w:rPr>
        <w:t xml:space="preserve">Planification des activités pour 2015-2016 : </w:t>
      </w:r>
    </w:p>
    <w:p w:rsidR="00583352" w:rsidRPr="00583352" w:rsidRDefault="00583352" w:rsidP="00583352">
      <w:pPr>
        <w:spacing w:after="0"/>
        <w:ind w:left="708"/>
        <w:rPr>
          <w:rFonts w:asciiTheme="majorHAnsi" w:hAnsiTheme="majorHAnsi"/>
          <w:sz w:val="28"/>
          <w:szCs w:val="28"/>
        </w:rPr>
      </w:pPr>
      <w:r w:rsidRPr="00583352">
        <w:rPr>
          <w:rFonts w:asciiTheme="majorHAnsi" w:eastAsia="Arial" w:hAnsiTheme="majorHAnsi" w:cs="Arial"/>
          <w:b/>
          <w:sz w:val="28"/>
          <w:szCs w:val="28"/>
        </w:rPr>
        <w:t xml:space="preserve"> </w:t>
      </w:r>
    </w:p>
    <w:p w:rsidR="00583352" w:rsidRPr="00583352" w:rsidRDefault="00583352" w:rsidP="00583352">
      <w:pPr>
        <w:numPr>
          <w:ilvl w:val="0"/>
          <w:numId w:val="3"/>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Visites préparatoires (à confirmer)</w:t>
      </w:r>
      <w:r w:rsidRPr="00583352">
        <w:rPr>
          <w:rFonts w:asciiTheme="majorHAnsi" w:eastAsia="Arial" w:hAnsiTheme="majorHAnsi" w:cs="Arial"/>
          <w:b/>
          <w:sz w:val="28"/>
          <w:szCs w:val="28"/>
        </w:rPr>
        <w:t xml:space="preserve"> </w:t>
      </w:r>
    </w:p>
    <w:p w:rsidR="00583352" w:rsidRPr="00583352" w:rsidRDefault="00583352" w:rsidP="00583352">
      <w:pPr>
        <w:numPr>
          <w:ilvl w:val="1"/>
          <w:numId w:val="3"/>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UFR de pharmacie de Grenoble (juin 2015) </w:t>
      </w:r>
    </w:p>
    <w:p w:rsidR="00583352" w:rsidRPr="00583352" w:rsidRDefault="00583352" w:rsidP="00583352">
      <w:pPr>
        <w:numPr>
          <w:ilvl w:val="1"/>
          <w:numId w:val="3"/>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Section Pharmacie de la Faculté de Médecine, Pharmacie et Odontostomatologie de Conakry (à déterminer) </w:t>
      </w:r>
    </w:p>
    <w:p w:rsidR="00583352" w:rsidRPr="00583352" w:rsidRDefault="00583352" w:rsidP="00583352">
      <w:pPr>
        <w:numPr>
          <w:ilvl w:val="1"/>
          <w:numId w:val="3"/>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Section pharmacie de la Faculté de Médecine, Pharmacie et Odonto-stomatologie de de Bamako (à déterminer) </w:t>
      </w:r>
    </w:p>
    <w:p w:rsidR="00583352" w:rsidRPr="00583352" w:rsidRDefault="00583352" w:rsidP="00583352">
      <w:pPr>
        <w:numPr>
          <w:ilvl w:val="1"/>
          <w:numId w:val="3"/>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Section pharmacie de la Faculté de médecine, de pharmacie et d’odontologie de Dakar (conjointe avec CIDMEF) (à déterminer) </w:t>
      </w:r>
    </w:p>
    <w:p w:rsidR="00583352" w:rsidRPr="00583352" w:rsidRDefault="00583352" w:rsidP="00583352">
      <w:pPr>
        <w:spacing w:after="0"/>
        <w:rPr>
          <w:rFonts w:asciiTheme="majorHAnsi" w:hAnsiTheme="majorHAnsi"/>
          <w:sz w:val="28"/>
          <w:szCs w:val="28"/>
        </w:rPr>
      </w:pPr>
      <w:r w:rsidRPr="00583352">
        <w:rPr>
          <w:rFonts w:asciiTheme="majorHAnsi" w:eastAsia="Arial" w:hAnsiTheme="majorHAnsi" w:cs="Arial"/>
          <w:sz w:val="28"/>
          <w:szCs w:val="28"/>
        </w:rPr>
        <w:t xml:space="preserve"> </w:t>
      </w:r>
    </w:p>
    <w:p w:rsidR="00583352" w:rsidRPr="00583352" w:rsidRDefault="00583352" w:rsidP="00583352">
      <w:pPr>
        <w:numPr>
          <w:ilvl w:val="0"/>
          <w:numId w:val="3"/>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Visites d’évaluation </w:t>
      </w:r>
      <w:r w:rsidRPr="00583352">
        <w:rPr>
          <w:rFonts w:asciiTheme="majorHAnsi" w:eastAsia="Arial" w:hAnsiTheme="majorHAnsi" w:cs="Arial"/>
          <w:b/>
          <w:sz w:val="28"/>
          <w:szCs w:val="28"/>
        </w:rPr>
        <w:t xml:space="preserve"> </w:t>
      </w:r>
    </w:p>
    <w:p w:rsidR="00583352" w:rsidRPr="00583352" w:rsidRDefault="00583352" w:rsidP="00583352">
      <w:pPr>
        <w:numPr>
          <w:ilvl w:val="1"/>
          <w:numId w:val="3"/>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UFR de Pharmacie de Angers (novembre 2015) </w:t>
      </w:r>
    </w:p>
    <w:p w:rsidR="00583352" w:rsidRPr="00583352" w:rsidRDefault="00583352" w:rsidP="00583352">
      <w:pPr>
        <w:spacing w:after="0"/>
        <w:rPr>
          <w:rFonts w:asciiTheme="majorHAnsi" w:hAnsiTheme="majorHAnsi"/>
          <w:sz w:val="28"/>
          <w:szCs w:val="28"/>
        </w:rPr>
      </w:pPr>
      <w:r w:rsidRPr="00583352">
        <w:rPr>
          <w:rFonts w:asciiTheme="majorHAnsi" w:eastAsia="Arial" w:hAnsiTheme="majorHAnsi" w:cs="Arial"/>
          <w:b/>
          <w:sz w:val="28"/>
          <w:szCs w:val="28"/>
        </w:rPr>
        <w:t xml:space="preserve"> </w:t>
      </w:r>
    </w:p>
    <w:p w:rsidR="00583352" w:rsidRPr="00583352" w:rsidRDefault="00583352" w:rsidP="00583352">
      <w:pPr>
        <w:numPr>
          <w:ilvl w:val="0"/>
          <w:numId w:val="3"/>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Visites de suivi (à confirmer) </w:t>
      </w:r>
    </w:p>
    <w:p w:rsidR="00583352" w:rsidRPr="00583352" w:rsidRDefault="00583352" w:rsidP="00583352">
      <w:pPr>
        <w:numPr>
          <w:ilvl w:val="1"/>
          <w:numId w:val="4"/>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Faculté de pharmacie de l’Université St-Joseph (Beyrouth) </w:t>
      </w:r>
    </w:p>
    <w:p w:rsidR="00583352" w:rsidRPr="00583352" w:rsidRDefault="00583352" w:rsidP="00583352">
      <w:pPr>
        <w:numPr>
          <w:ilvl w:val="1"/>
          <w:numId w:val="4"/>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Faculté de pharmacie de l’Université Libanaise (Beyrouth) </w:t>
      </w:r>
    </w:p>
    <w:p w:rsidR="00583352" w:rsidRPr="00583352" w:rsidRDefault="00583352" w:rsidP="00583352">
      <w:pPr>
        <w:numPr>
          <w:ilvl w:val="1"/>
          <w:numId w:val="4"/>
        </w:numPr>
        <w:spacing w:after="14" w:line="249" w:lineRule="auto"/>
        <w:ind w:hanging="360"/>
        <w:rPr>
          <w:rFonts w:asciiTheme="majorHAnsi" w:hAnsiTheme="majorHAnsi"/>
          <w:sz w:val="28"/>
          <w:szCs w:val="28"/>
        </w:rPr>
      </w:pPr>
      <w:r w:rsidRPr="00583352">
        <w:rPr>
          <w:rFonts w:asciiTheme="majorHAnsi" w:eastAsia="Arial" w:hAnsiTheme="majorHAnsi" w:cs="Arial"/>
          <w:sz w:val="28"/>
          <w:szCs w:val="28"/>
        </w:rPr>
        <w:t xml:space="preserve">Faculté de pharmacie de l’Université de Monastir </w:t>
      </w:r>
    </w:p>
    <w:p w:rsidR="00583352" w:rsidRDefault="00583352" w:rsidP="00583352">
      <w:pPr>
        <w:spacing w:after="0"/>
        <w:ind w:left="720"/>
      </w:pPr>
      <w:r>
        <w:rPr>
          <w:rFonts w:ascii="Arial" w:eastAsia="Arial" w:hAnsi="Arial" w:cs="Arial"/>
          <w:sz w:val="24"/>
        </w:rPr>
        <w:t xml:space="preserve"> </w:t>
      </w:r>
    </w:p>
    <w:p w:rsidR="00583352" w:rsidRDefault="00583352" w:rsidP="00583352">
      <w:pPr>
        <w:spacing w:after="14" w:line="249" w:lineRule="auto"/>
        <w:ind w:left="-5" w:right="1008" w:hanging="10"/>
        <w:rPr>
          <w:rFonts w:ascii="Arial" w:eastAsia="Comic Sans MS" w:hAnsi="Arial" w:cs="Arial"/>
          <w:sz w:val="24"/>
        </w:rPr>
      </w:pPr>
    </w:p>
    <w:p w:rsidR="008A2E15" w:rsidRDefault="00F32263"/>
    <w:sectPr w:rsidR="008A2E15">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263" w:rsidRDefault="00F32263" w:rsidP="00583352">
      <w:pPr>
        <w:spacing w:after="0" w:line="240" w:lineRule="auto"/>
      </w:pPr>
      <w:r>
        <w:separator/>
      </w:r>
    </w:p>
  </w:endnote>
  <w:endnote w:type="continuationSeparator" w:id="0">
    <w:p w:rsidR="00F32263" w:rsidRDefault="00F32263" w:rsidP="0058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263" w:rsidRDefault="00F32263" w:rsidP="00583352">
      <w:pPr>
        <w:spacing w:after="0" w:line="240" w:lineRule="auto"/>
      </w:pPr>
      <w:r>
        <w:separator/>
      </w:r>
    </w:p>
  </w:footnote>
  <w:footnote w:type="continuationSeparator" w:id="0">
    <w:p w:rsidR="00F32263" w:rsidRDefault="00F32263" w:rsidP="00583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223" w:rsidRDefault="003F0223" w:rsidP="003F0223">
    <w:pPr>
      <w:spacing w:after="14" w:line="247" w:lineRule="auto"/>
      <w:ind w:left="1416" w:right="1008"/>
      <w:rPr>
        <w:rFonts w:cs="Times New Roman"/>
        <w:color w:val="70AD76"/>
        <w:sz w:val="24"/>
        <w:szCs w:val="27"/>
        <w:shd w:val="clear" w:color="auto" w:fill="FFFFFF"/>
      </w:rPr>
    </w:pPr>
    <w:r>
      <w:rPr>
        <w:noProof/>
        <w:lang w:val="fr-FR" w:eastAsia="fr-FR"/>
      </w:rPr>
      <w:drawing>
        <wp:anchor distT="0" distB="0" distL="114300" distR="114300" simplePos="0" relativeHeight="251659264" behindDoc="0" locked="0" layoutInCell="1" allowOverlap="1">
          <wp:simplePos x="0" y="0"/>
          <wp:positionH relativeFrom="column">
            <wp:posOffset>-666619</wp:posOffset>
          </wp:positionH>
          <wp:positionV relativeFrom="paragraph">
            <wp:posOffset>-280436</wp:posOffset>
          </wp:positionV>
          <wp:extent cx="1423382" cy="645090"/>
          <wp:effectExtent l="0" t="0" r="571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382" cy="64509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color w:val="70AD76"/>
        <w:sz w:val="24"/>
        <w:szCs w:val="27"/>
        <w:shd w:val="clear" w:color="auto" w:fill="FFFFFF"/>
      </w:rPr>
      <w:t xml:space="preserve">Conférence Internationale des Doyens </w:t>
    </w:r>
    <w:r>
      <w:rPr>
        <w:rFonts w:cs="Times New Roman"/>
        <w:color w:val="70AD76"/>
        <w:sz w:val="24"/>
        <w:szCs w:val="27"/>
        <w:shd w:val="clear" w:color="auto" w:fill="FFFFFF"/>
      </w:rPr>
      <w:br/>
      <w:t>des Facultés de Pharmacie d'Expression Française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815"/>
    <w:multiLevelType w:val="hybridMultilevel"/>
    <w:tmpl w:val="DADA96F6"/>
    <w:lvl w:ilvl="0" w:tplc="C846DC7E">
      <w:start w:val="1"/>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2264120">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25CB8">
      <w:start w:val="1"/>
      <w:numFmt w:val="bullet"/>
      <w:lvlText w:val="▪"/>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7E01BA">
      <w:start w:val="1"/>
      <w:numFmt w:val="bullet"/>
      <w:lvlText w:val="•"/>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8C58DE">
      <w:start w:val="1"/>
      <w:numFmt w:val="bullet"/>
      <w:lvlText w:val="o"/>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AD2BE">
      <w:start w:val="1"/>
      <w:numFmt w:val="bullet"/>
      <w:lvlText w:val="▪"/>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0EC06">
      <w:start w:val="1"/>
      <w:numFmt w:val="bullet"/>
      <w:lvlText w:val="•"/>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668F0">
      <w:start w:val="1"/>
      <w:numFmt w:val="bullet"/>
      <w:lvlText w:val="o"/>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78ED5C">
      <w:start w:val="1"/>
      <w:numFmt w:val="bullet"/>
      <w:lvlText w:val="▪"/>
      <w:lvlJc w:val="left"/>
      <w:pPr>
        <w:ind w:left="6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E14F04"/>
    <w:multiLevelType w:val="hybridMultilevel"/>
    <w:tmpl w:val="239EDDC4"/>
    <w:lvl w:ilvl="0" w:tplc="605C354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2CFC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92C59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A81F6E">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8E2BA0">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28698A">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B45A5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BA7990">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00C3C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4A093D"/>
    <w:multiLevelType w:val="hybridMultilevel"/>
    <w:tmpl w:val="57EC87BA"/>
    <w:lvl w:ilvl="0" w:tplc="5AF60C9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EE03704">
      <w:start w:val="1"/>
      <w:numFmt w:val="bullet"/>
      <w:lvlRestart w:val="0"/>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16D92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D4E6A5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88AA0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C8ECD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DA714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10AB4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8CFB5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1A3216"/>
    <w:multiLevelType w:val="hybridMultilevel"/>
    <w:tmpl w:val="6BBA56E4"/>
    <w:lvl w:ilvl="0" w:tplc="BF42F3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D69C88">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BC45D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7A171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5C81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6C070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52038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2E214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88CB7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52"/>
    <w:rsid w:val="000671C0"/>
    <w:rsid w:val="001075E9"/>
    <w:rsid w:val="00374521"/>
    <w:rsid w:val="003F0223"/>
    <w:rsid w:val="00583352"/>
    <w:rsid w:val="006737EC"/>
    <w:rsid w:val="00A5668F"/>
    <w:rsid w:val="00AB3EBF"/>
    <w:rsid w:val="00C22EA2"/>
    <w:rsid w:val="00E86CAD"/>
    <w:rsid w:val="00F322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B953F-3AFF-4399-A515-1778E42D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3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3352"/>
    <w:pPr>
      <w:tabs>
        <w:tab w:val="center" w:pos="4320"/>
        <w:tab w:val="right" w:pos="8640"/>
      </w:tabs>
      <w:spacing w:after="0" w:line="240" w:lineRule="auto"/>
    </w:pPr>
  </w:style>
  <w:style w:type="character" w:customStyle="1" w:styleId="En-tteCar">
    <w:name w:val="En-tête Car"/>
    <w:basedOn w:val="Policepardfaut"/>
    <w:link w:val="En-tte"/>
    <w:uiPriority w:val="99"/>
    <w:rsid w:val="00583352"/>
  </w:style>
  <w:style w:type="paragraph" w:styleId="Pieddepage">
    <w:name w:val="footer"/>
    <w:basedOn w:val="Normal"/>
    <w:link w:val="PieddepageCar"/>
    <w:uiPriority w:val="99"/>
    <w:unhideWhenUsed/>
    <w:rsid w:val="0058335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8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34714">
      <w:bodyDiv w:val="1"/>
      <w:marLeft w:val="0"/>
      <w:marRight w:val="0"/>
      <w:marTop w:val="0"/>
      <w:marBottom w:val="0"/>
      <w:divBdr>
        <w:top w:val="none" w:sz="0" w:space="0" w:color="auto"/>
        <w:left w:val="none" w:sz="0" w:space="0" w:color="auto"/>
        <w:bottom w:val="none" w:sz="0" w:space="0" w:color="auto"/>
        <w:right w:val="none" w:sz="0" w:space="0" w:color="auto"/>
      </w:divBdr>
    </w:div>
    <w:div w:id="9650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520</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 Guilmain Laurence</dc:creator>
  <cp:lastModifiedBy>Charpiot</cp:lastModifiedBy>
  <cp:revision>2</cp:revision>
  <dcterms:created xsi:type="dcterms:W3CDTF">2016-02-14T21:11:00Z</dcterms:created>
  <dcterms:modified xsi:type="dcterms:W3CDTF">2016-02-26T15:50:00Z</dcterms:modified>
</cp:coreProperties>
</file>